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F4733" w14:textId="4260E062" w:rsidR="00A466ED" w:rsidRPr="0042227B" w:rsidRDefault="002A75C8" w:rsidP="00A466ED">
      <w:pPr>
        <w:pStyle w:val="Heading1"/>
        <w:rPr>
          <w:rFonts w:ascii="Arial" w:hAnsi="Arial"/>
        </w:rPr>
      </w:pPr>
      <w:bookmarkStart w:id="0" w:name="_Toc291070555"/>
      <w:bookmarkStart w:id="1" w:name="_GoBack"/>
      <w:bookmarkEnd w:id="1"/>
      <w:r>
        <w:rPr>
          <w:rFonts w:ascii="Arial" w:hAnsi="Arial"/>
        </w:rPr>
        <w:t xml:space="preserve">Kiribati </w:t>
      </w:r>
      <w:r w:rsidR="005C4ABB" w:rsidRPr="0042227B">
        <w:rPr>
          <w:rFonts w:ascii="Arial" w:hAnsi="Arial"/>
        </w:rPr>
        <w:t xml:space="preserve">GDP </w:t>
      </w:r>
      <w:r w:rsidR="00A466ED" w:rsidRPr="0042227B">
        <w:rPr>
          <w:rFonts w:ascii="Arial" w:hAnsi="Arial"/>
        </w:rPr>
        <w:t>Highlights</w:t>
      </w:r>
      <w:bookmarkEnd w:id="0"/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5769"/>
      </w:tblGrid>
      <w:tr w:rsidR="00A466ED" w:rsidRPr="0042227B" w14:paraId="29E6BFB4" w14:textId="77777777" w:rsidTr="002A75C8">
        <w:tc>
          <w:tcPr>
            <w:tcW w:w="10797" w:type="dxa"/>
            <w:gridSpan w:val="2"/>
          </w:tcPr>
          <w:p w14:paraId="658B3E6D" w14:textId="77777777" w:rsidR="00A466ED" w:rsidRPr="0042227B" w:rsidRDefault="00A466ED" w:rsidP="00EA07C5">
            <w:pPr>
              <w:spacing w:before="60" w:line="240" w:lineRule="auto"/>
              <w:jc w:val="center"/>
              <w:rPr>
                <w:rFonts w:ascii="Arial" w:hAnsi="Arial" w:cs="Arial"/>
                <w:b/>
              </w:rPr>
            </w:pPr>
            <w:bookmarkStart w:id="2" w:name="_Toc291070556"/>
            <w:r w:rsidRPr="0042227B">
              <w:rPr>
                <w:rFonts w:ascii="Arial" w:hAnsi="Arial" w:cs="Arial"/>
                <w:b/>
              </w:rPr>
              <w:t>Gross Domestic Product (GDP)</w:t>
            </w:r>
            <w:bookmarkEnd w:id="2"/>
          </w:p>
        </w:tc>
      </w:tr>
      <w:tr w:rsidR="00A466ED" w:rsidRPr="0042227B" w14:paraId="1EE05A2B" w14:textId="77777777" w:rsidTr="00FF0E50">
        <w:tc>
          <w:tcPr>
            <w:tcW w:w="5028" w:type="dxa"/>
          </w:tcPr>
          <w:p w14:paraId="145529A5" w14:textId="7449ADD2" w:rsidR="00352765" w:rsidRPr="007550EA" w:rsidRDefault="00142B69" w:rsidP="00DB2CED">
            <w:pPr>
              <w:numPr>
                <w:ilvl w:val="0"/>
                <w:numId w:val="1"/>
              </w:num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550EA">
              <w:rPr>
                <w:rFonts w:ascii="Arial" w:hAnsi="Arial" w:cs="Arial"/>
                <w:sz w:val="22"/>
                <w:szCs w:val="22"/>
              </w:rPr>
              <w:t>Nominal</w:t>
            </w:r>
            <w:r w:rsidR="00483959" w:rsidRPr="007550EA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 w:rsidR="00E87C53" w:rsidRPr="007550EA">
              <w:rPr>
                <w:rFonts w:ascii="Arial" w:hAnsi="Arial" w:cs="Arial"/>
                <w:sz w:val="22"/>
                <w:szCs w:val="22"/>
              </w:rPr>
              <w:t>eal GDP ha</w:t>
            </w:r>
            <w:r w:rsidR="002A75C8" w:rsidRPr="007550EA">
              <w:rPr>
                <w:rFonts w:ascii="Arial" w:hAnsi="Arial" w:cs="Arial"/>
                <w:sz w:val="22"/>
                <w:szCs w:val="22"/>
              </w:rPr>
              <w:t>s</w:t>
            </w:r>
            <w:r w:rsidR="00E87C53" w:rsidRPr="007550EA">
              <w:rPr>
                <w:rFonts w:ascii="Arial" w:hAnsi="Arial" w:cs="Arial"/>
                <w:sz w:val="22"/>
                <w:szCs w:val="22"/>
              </w:rPr>
              <w:t xml:space="preserve"> been steadily increasing</w:t>
            </w:r>
            <w:r w:rsidRPr="007550EA">
              <w:rPr>
                <w:rFonts w:ascii="Arial" w:hAnsi="Arial" w:cs="Arial"/>
                <w:sz w:val="22"/>
                <w:szCs w:val="22"/>
              </w:rPr>
              <w:t xml:space="preserve"> since 2010</w:t>
            </w:r>
            <w:r w:rsidR="00C43A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2B5CD6" w14:textId="499E45A7" w:rsidR="004B5408" w:rsidRPr="007550EA" w:rsidRDefault="00987210" w:rsidP="00DB2CED">
            <w:pPr>
              <w:numPr>
                <w:ilvl w:val="0"/>
                <w:numId w:val="1"/>
              </w:num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550EA">
              <w:rPr>
                <w:rFonts w:ascii="Arial" w:hAnsi="Arial" w:cs="Arial"/>
                <w:sz w:val="22"/>
                <w:szCs w:val="22"/>
              </w:rPr>
              <w:t>The estimated level of</w:t>
            </w:r>
            <w:r w:rsidR="00A04FC5" w:rsidRPr="00755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662" w:rsidRPr="007550EA">
              <w:rPr>
                <w:rFonts w:ascii="Arial" w:hAnsi="Arial" w:cs="Arial"/>
                <w:sz w:val="22"/>
                <w:szCs w:val="22"/>
              </w:rPr>
              <w:t>nominal GDP for 2017</w:t>
            </w:r>
            <w:r w:rsidR="00354CCF" w:rsidRPr="007550EA">
              <w:rPr>
                <w:rFonts w:ascii="Arial" w:hAnsi="Arial" w:cs="Arial"/>
                <w:sz w:val="22"/>
                <w:szCs w:val="22"/>
              </w:rPr>
              <w:t xml:space="preserve"> was A$</w:t>
            </w:r>
            <w:r w:rsidR="009D5662" w:rsidRPr="007550EA">
              <w:rPr>
                <w:rFonts w:ascii="Arial" w:hAnsi="Arial" w:cs="Arial"/>
                <w:sz w:val="22"/>
                <w:szCs w:val="22"/>
              </w:rPr>
              <w:t>242</w:t>
            </w:r>
            <w:r w:rsidR="00E87C53" w:rsidRPr="00755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5C8" w:rsidRPr="007550EA">
              <w:rPr>
                <w:rFonts w:ascii="Arial" w:hAnsi="Arial" w:cs="Arial"/>
                <w:sz w:val="22"/>
                <w:szCs w:val="22"/>
              </w:rPr>
              <w:t>million</w:t>
            </w:r>
            <w:r w:rsidR="00C43A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953290" w14:textId="57E2F4F4" w:rsidR="00A466ED" w:rsidRPr="007550EA" w:rsidRDefault="00987210" w:rsidP="005A6E87">
            <w:pPr>
              <w:numPr>
                <w:ilvl w:val="0"/>
                <w:numId w:val="1"/>
              </w:num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550EA">
              <w:rPr>
                <w:rFonts w:ascii="Arial" w:hAnsi="Arial" w:cs="Arial"/>
                <w:sz w:val="22"/>
                <w:szCs w:val="22"/>
              </w:rPr>
              <w:t>The estimated level</w:t>
            </w:r>
            <w:r w:rsidR="00E87C53" w:rsidRPr="007550EA">
              <w:rPr>
                <w:rFonts w:ascii="Arial" w:hAnsi="Arial" w:cs="Arial"/>
                <w:sz w:val="22"/>
                <w:szCs w:val="22"/>
              </w:rPr>
              <w:t xml:space="preserve"> of GDP </w:t>
            </w:r>
            <w:r w:rsidR="009D5662" w:rsidRPr="007550EA">
              <w:rPr>
                <w:rFonts w:ascii="Arial" w:hAnsi="Arial" w:cs="Arial"/>
                <w:sz w:val="22"/>
                <w:szCs w:val="22"/>
              </w:rPr>
              <w:t>in 2006 prices for 2017</w:t>
            </w:r>
            <w:r w:rsidR="00354CCF" w:rsidRPr="007550EA">
              <w:rPr>
                <w:rFonts w:ascii="Arial" w:hAnsi="Arial" w:cs="Arial"/>
                <w:sz w:val="22"/>
                <w:szCs w:val="22"/>
              </w:rPr>
              <w:t xml:space="preserve"> was A$</w:t>
            </w:r>
            <w:r w:rsidR="009D5662" w:rsidRPr="007550EA">
              <w:rPr>
                <w:rFonts w:ascii="Arial" w:hAnsi="Arial" w:cs="Arial"/>
                <w:sz w:val="22"/>
                <w:szCs w:val="22"/>
              </w:rPr>
              <w:t>187</w:t>
            </w:r>
            <w:r w:rsidRPr="007550EA">
              <w:rPr>
                <w:rFonts w:ascii="Arial" w:hAnsi="Arial" w:cs="Arial"/>
                <w:sz w:val="22"/>
                <w:szCs w:val="22"/>
              </w:rPr>
              <w:t xml:space="preserve"> million</w:t>
            </w:r>
            <w:r w:rsidR="00C43A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C1C0B1" w14:textId="543FEE78" w:rsidR="0042227B" w:rsidRPr="0042227B" w:rsidRDefault="00C43A02" w:rsidP="00544DE6">
            <w:pPr>
              <w:numPr>
                <w:ilvl w:val="0"/>
                <w:numId w:val="1"/>
              </w:num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550EA">
              <w:rPr>
                <w:rFonts w:ascii="Arial" w:hAnsi="Arial" w:cs="Arial"/>
                <w:sz w:val="22"/>
                <w:szCs w:val="22"/>
              </w:rPr>
              <w:t>In 2017 the real growth rate was 0.3 percent compared with 5.1 percent in 2016.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>Growth has slow</w:t>
            </w:r>
            <w:r w:rsidR="00544DE6">
              <w:rPr>
                <w:rFonts w:ascii="Arial" w:hAnsi="Arial" w:cs="Arial"/>
                <w:sz w:val="22"/>
                <w:szCs w:val="22"/>
              </w:rPr>
              <w:t>ed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 xml:space="preserve"> with the wind down of the donor-funded infrastructure projects</w:t>
            </w:r>
            <w:r w:rsidR="00544DE6">
              <w:rPr>
                <w:rFonts w:ascii="Arial" w:hAnsi="Arial" w:cs="Arial"/>
                <w:sz w:val="22"/>
                <w:szCs w:val="22"/>
              </w:rPr>
              <w:t>,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 xml:space="preserve"> which are now largely complete.</w:t>
            </w:r>
            <w:r w:rsidR="00544D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69" w:type="dxa"/>
          </w:tcPr>
          <w:p w14:paraId="1609FBE1" w14:textId="77777777" w:rsidR="000642C8" w:rsidRPr="0042227B" w:rsidRDefault="009D5662" w:rsidP="00EA07C5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D5662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6C82E396" wp14:editId="7461D837">
                  <wp:extent cx="3524250" cy="19907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E2A0F" w14:textId="77777777" w:rsidR="00A466ED" w:rsidRPr="0042227B" w:rsidRDefault="00A466ED" w:rsidP="00EA07C5">
            <w:pPr>
              <w:spacing w:before="60"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75C8" w:rsidRPr="0042227B" w14:paraId="4F77A79D" w14:textId="77777777" w:rsidTr="002254F7">
        <w:tc>
          <w:tcPr>
            <w:tcW w:w="10797" w:type="dxa"/>
            <w:gridSpan w:val="2"/>
          </w:tcPr>
          <w:p w14:paraId="1FEFD97F" w14:textId="77777777" w:rsidR="002A75C8" w:rsidRPr="0042227B" w:rsidRDefault="00FF0E50" w:rsidP="002254F7">
            <w:pPr>
              <w:spacing w:before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2017</w:t>
            </w:r>
            <w:r w:rsidR="002A75C8">
              <w:rPr>
                <w:rFonts w:ascii="Arial" w:hAnsi="Arial" w:cs="Arial"/>
                <w:b/>
                <w:szCs w:val="24"/>
              </w:rPr>
              <w:t xml:space="preserve"> </w:t>
            </w:r>
            <w:r w:rsidR="007550EA">
              <w:rPr>
                <w:rFonts w:ascii="Arial" w:hAnsi="Arial" w:cs="Arial"/>
                <w:b/>
                <w:szCs w:val="24"/>
              </w:rPr>
              <w:t>I</w:t>
            </w:r>
            <w:r w:rsidR="00720334">
              <w:rPr>
                <w:rFonts w:ascii="Arial" w:hAnsi="Arial" w:cs="Arial"/>
                <w:b/>
                <w:szCs w:val="24"/>
              </w:rPr>
              <w:t xml:space="preserve">ndustry </w:t>
            </w:r>
            <w:r w:rsidR="002A75C8">
              <w:rPr>
                <w:rFonts w:ascii="Arial" w:hAnsi="Arial" w:cs="Arial"/>
                <w:b/>
                <w:szCs w:val="24"/>
              </w:rPr>
              <w:t>growth</w:t>
            </w:r>
          </w:p>
        </w:tc>
      </w:tr>
      <w:tr w:rsidR="002A75C8" w:rsidRPr="0042227B" w14:paraId="4B3DC32C" w14:textId="77777777" w:rsidTr="002A75C8">
        <w:trPr>
          <w:trHeight w:val="2771"/>
        </w:trPr>
        <w:tc>
          <w:tcPr>
            <w:tcW w:w="5028" w:type="dxa"/>
          </w:tcPr>
          <w:p w14:paraId="3C662101" w14:textId="77777777" w:rsidR="002A75C8" w:rsidRPr="007550EA" w:rsidRDefault="002A75C8" w:rsidP="002254F7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550EA">
              <w:rPr>
                <w:rFonts w:ascii="Arial" w:hAnsi="Arial" w:cs="Arial"/>
                <w:sz w:val="22"/>
                <w:szCs w:val="22"/>
              </w:rPr>
              <w:t>The main contributors to GDP growth (in 2006 prices) were:</w:t>
            </w:r>
          </w:p>
          <w:p w14:paraId="350CFD94" w14:textId="30AC70D2" w:rsidR="002A75C8" w:rsidRPr="00544DE6" w:rsidRDefault="00D35B02" w:rsidP="00544DE6">
            <w:pPr>
              <w:pStyle w:val="ListParagraph"/>
              <w:numPr>
                <w:ilvl w:val="0"/>
                <w:numId w:val="17"/>
              </w:numPr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DE6">
              <w:rPr>
                <w:rFonts w:ascii="Arial" w:hAnsi="Arial" w:cs="Arial"/>
                <w:bCs/>
                <w:sz w:val="22"/>
                <w:szCs w:val="22"/>
              </w:rPr>
              <w:t xml:space="preserve">Agriculture and </w:t>
            </w:r>
            <w:r w:rsidR="00544DE6" w:rsidRPr="00544DE6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544DE6">
              <w:rPr>
                <w:rFonts w:ascii="Arial" w:hAnsi="Arial" w:cs="Arial"/>
                <w:bCs/>
                <w:sz w:val="22"/>
                <w:szCs w:val="22"/>
              </w:rPr>
              <w:t>ishing, up $3.8m (9.0</w:t>
            </w:r>
            <w:r w:rsidR="002A75C8" w:rsidRPr="00544DE6">
              <w:rPr>
                <w:rFonts w:ascii="Arial" w:hAnsi="Arial" w:cs="Arial"/>
                <w:bCs/>
                <w:sz w:val="22"/>
                <w:szCs w:val="22"/>
              </w:rPr>
              <w:t>%)</w:t>
            </w:r>
            <w:r w:rsidR="00544DE6" w:rsidRPr="00544DE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A75C8" w:rsidRPr="00544DE6">
              <w:rPr>
                <w:rFonts w:ascii="Arial" w:hAnsi="Arial" w:cs="Arial"/>
                <w:bCs/>
                <w:sz w:val="22"/>
                <w:szCs w:val="22"/>
              </w:rPr>
              <w:t xml:space="preserve"> The increase was mainly due to increased copra production and commercial fishing.</w:t>
            </w:r>
          </w:p>
          <w:p w14:paraId="4E68E4EA" w14:textId="77777777" w:rsidR="002A75C8" w:rsidRPr="00544DE6" w:rsidRDefault="00D35B02" w:rsidP="00544DE6">
            <w:pPr>
              <w:pStyle w:val="ListParagraph"/>
              <w:numPr>
                <w:ilvl w:val="0"/>
                <w:numId w:val="17"/>
              </w:numPr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DE6">
              <w:rPr>
                <w:rFonts w:ascii="Arial" w:hAnsi="Arial" w:cs="Arial"/>
                <w:bCs/>
                <w:sz w:val="22"/>
                <w:szCs w:val="22"/>
              </w:rPr>
              <w:t>Government, up $1.8</w:t>
            </w:r>
            <w:r w:rsidR="002A75C8" w:rsidRPr="00544DE6">
              <w:rPr>
                <w:rFonts w:ascii="Arial" w:hAnsi="Arial" w:cs="Arial"/>
                <w:bCs/>
                <w:sz w:val="22"/>
                <w:szCs w:val="22"/>
              </w:rPr>
              <w:t>m (</w:t>
            </w:r>
            <w:r w:rsidRPr="00544DE6">
              <w:rPr>
                <w:rFonts w:ascii="Arial" w:hAnsi="Arial" w:cs="Arial"/>
                <w:bCs/>
                <w:sz w:val="22"/>
                <w:szCs w:val="22"/>
              </w:rPr>
              <w:t>3.6</w:t>
            </w:r>
            <w:r w:rsidR="002A75C8" w:rsidRPr="00544DE6">
              <w:rPr>
                <w:rFonts w:ascii="Arial" w:hAnsi="Arial" w:cs="Arial"/>
                <w:bCs/>
                <w:sz w:val="22"/>
                <w:szCs w:val="22"/>
              </w:rPr>
              <w:t>%)</w:t>
            </w:r>
          </w:p>
          <w:p w14:paraId="2922D028" w14:textId="6D9629BE" w:rsidR="002A75C8" w:rsidRPr="00544DE6" w:rsidRDefault="00D35B02" w:rsidP="00544DE6">
            <w:pPr>
              <w:pStyle w:val="ListParagraph"/>
              <w:numPr>
                <w:ilvl w:val="0"/>
                <w:numId w:val="17"/>
              </w:numPr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DE6">
              <w:rPr>
                <w:rFonts w:ascii="Arial" w:hAnsi="Arial" w:cs="Arial"/>
                <w:bCs/>
                <w:sz w:val="22"/>
                <w:szCs w:val="22"/>
              </w:rPr>
              <w:t xml:space="preserve">Financial </w:t>
            </w:r>
            <w:r w:rsidR="00544DE6" w:rsidRPr="00544DE6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544DE6">
              <w:rPr>
                <w:rFonts w:ascii="Arial" w:hAnsi="Arial" w:cs="Arial"/>
                <w:bCs/>
                <w:sz w:val="22"/>
                <w:szCs w:val="22"/>
              </w:rPr>
              <w:t>ntermediation, up $1.0m (8.7</w:t>
            </w:r>
            <w:r w:rsidR="002A75C8" w:rsidRPr="00544DE6">
              <w:rPr>
                <w:rFonts w:ascii="Arial" w:hAnsi="Arial" w:cs="Arial"/>
                <w:bCs/>
                <w:sz w:val="22"/>
                <w:szCs w:val="22"/>
              </w:rPr>
              <w:t xml:space="preserve">%)  </w:t>
            </w:r>
          </w:p>
          <w:p w14:paraId="45320DAC" w14:textId="50144C59" w:rsidR="00544DE6" w:rsidRPr="00544DE6" w:rsidRDefault="00544DE6" w:rsidP="00544DE6">
            <w:pPr>
              <w:pStyle w:val="ListParagraph"/>
              <w:numPr>
                <w:ilvl w:val="0"/>
                <w:numId w:val="17"/>
              </w:numPr>
              <w:spacing w:before="6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44DE6">
              <w:rPr>
                <w:rFonts w:ascii="Arial" w:hAnsi="Arial" w:cs="Arial"/>
                <w:bCs/>
                <w:sz w:val="22"/>
                <w:szCs w:val="22"/>
              </w:rPr>
              <w:t>The increase in copra production was offset by the payment of subsid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ies</w:t>
            </w:r>
            <w:r w:rsidRPr="00544DE6">
              <w:rPr>
                <w:rFonts w:ascii="Arial" w:hAnsi="Arial" w:cs="Arial"/>
                <w:bCs/>
                <w:sz w:val="22"/>
                <w:szCs w:val="22"/>
              </w:rPr>
              <w:t xml:space="preserve"> (down $3.5m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 29.6%</w:t>
            </w:r>
            <w:r w:rsidRPr="00544DE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7985EA1" w14:textId="38DC13F3" w:rsidR="00544DE6" w:rsidRPr="00544DE6" w:rsidRDefault="002A75C8" w:rsidP="00544DE6">
            <w:pPr>
              <w:pStyle w:val="ListParagraph"/>
              <w:numPr>
                <w:ilvl w:val="0"/>
                <w:numId w:val="17"/>
              </w:numPr>
              <w:spacing w:before="6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44DE6">
              <w:rPr>
                <w:rFonts w:ascii="Arial" w:hAnsi="Arial" w:cs="Arial"/>
                <w:sz w:val="22"/>
                <w:szCs w:val="22"/>
              </w:rPr>
              <w:t xml:space="preserve">There were falls in 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>construction (down $4</w:t>
            </w:r>
            <w:r w:rsidR="00544DE6">
              <w:rPr>
                <w:rFonts w:ascii="Arial" w:hAnsi="Arial" w:cs="Arial"/>
                <w:sz w:val="22"/>
                <w:szCs w:val="22"/>
              </w:rPr>
              <w:t>.0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>m</w:t>
            </w:r>
            <w:r w:rsidR="00544DE6">
              <w:rPr>
                <w:rFonts w:ascii="Arial" w:hAnsi="Arial" w:cs="Arial"/>
                <w:sz w:val="22"/>
                <w:szCs w:val="22"/>
              </w:rPr>
              <w:t xml:space="preserve"> or 23.2%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>), transport and storage (down $0.5m</w:t>
            </w:r>
            <w:r w:rsidR="00544DE6">
              <w:rPr>
                <w:rFonts w:ascii="Arial" w:hAnsi="Arial" w:cs="Arial"/>
                <w:sz w:val="22"/>
                <w:szCs w:val="22"/>
              </w:rPr>
              <w:t xml:space="preserve"> or 7.2%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>), and m</w:t>
            </w:r>
            <w:r w:rsidR="007550EA" w:rsidRPr="00544DE6">
              <w:rPr>
                <w:rFonts w:ascii="Arial" w:hAnsi="Arial" w:cs="Arial"/>
                <w:sz w:val="22"/>
                <w:szCs w:val="22"/>
              </w:rPr>
              <w:t>ining and</w:t>
            </w:r>
            <w:r w:rsidR="00D35B02" w:rsidRPr="00544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>q</w:t>
            </w:r>
            <w:r w:rsidR="007550EA" w:rsidRPr="00544DE6">
              <w:rPr>
                <w:rFonts w:ascii="Arial" w:hAnsi="Arial" w:cs="Arial"/>
                <w:sz w:val="22"/>
                <w:szCs w:val="22"/>
              </w:rPr>
              <w:t>uarrying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 xml:space="preserve"> (down $0.2m</w:t>
            </w:r>
            <w:r w:rsidR="00544DE6">
              <w:rPr>
                <w:rFonts w:ascii="Arial" w:hAnsi="Arial" w:cs="Arial"/>
                <w:sz w:val="22"/>
                <w:szCs w:val="22"/>
              </w:rPr>
              <w:t xml:space="preserve"> or 24.7%</w:t>
            </w:r>
            <w:r w:rsidR="00544DE6" w:rsidRPr="00544DE6">
              <w:rPr>
                <w:rFonts w:ascii="Arial" w:hAnsi="Arial" w:cs="Arial"/>
                <w:sz w:val="22"/>
                <w:szCs w:val="22"/>
              </w:rPr>
              <w:t>)</w:t>
            </w:r>
            <w:r w:rsidR="00C43A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69" w:type="dxa"/>
          </w:tcPr>
          <w:p w14:paraId="6B7326FE" w14:textId="77777777" w:rsidR="002A75C8" w:rsidRPr="00720334" w:rsidRDefault="003575C9" w:rsidP="002254F7">
            <w:pPr>
              <w:spacing w:before="60" w:line="276" w:lineRule="auto"/>
              <w:jc w:val="right"/>
              <w:rPr>
                <w:color w:val="FF0000"/>
              </w:rPr>
            </w:pPr>
            <w:r w:rsidRPr="003575C9">
              <w:rPr>
                <w:noProof/>
                <w:color w:val="FF0000"/>
                <w:lang w:eastAsia="zh-TW"/>
              </w:rPr>
              <w:drawing>
                <wp:inline distT="0" distB="0" distL="0" distR="0" wp14:anchorId="68B0B761" wp14:editId="5E77F8C0">
                  <wp:extent cx="3524250" cy="2266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05D">
              <w:rPr>
                <w:noProof/>
                <w:color w:val="FF0000"/>
                <w:lang w:eastAsia="en-US"/>
              </w:rPr>
              <w:t xml:space="preserve"> </w:t>
            </w:r>
          </w:p>
          <w:p w14:paraId="3BABDCAE" w14:textId="77777777" w:rsidR="000A388F" w:rsidRPr="00720334" w:rsidRDefault="000A388F" w:rsidP="002254F7">
            <w:pPr>
              <w:spacing w:before="60"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A75C8" w:rsidRPr="0042227B" w14:paraId="7C04C901" w14:textId="77777777" w:rsidTr="002254F7">
        <w:tc>
          <w:tcPr>
            <w:tcW w:w="10797" w:type="dxa"/>
            <w:gridSpan w:val="2"/>
          </w:tcPr>
          <w:p w14:paraId="1B753F29" w14:textId="77777777" w:rsidR="002A75C8" w:rsidRPr="002A75C8" w:rsidRDefault="002A75C8" w:rsidP="002254F7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5C8">
              <w:rPr>
                <w:rFonts w:ascii="Arial" w:hAnsi="Arial" w:cs="Arial"/>
                <w:b/>
                <w:sz w:val="22"/>
                <w:szCs w:val="22"/>
              </w:rPr>
              <w:t>Industry contributions</w:t>
            </w:r>
          </w:p>
        </w:tc>
      </w:tr>
      <w:tr w:rsidR="00954912" w:rsidRPr="0042227B" w14:paraId="2DA220A3" w14:textId="77777777" w:rsidTr="002A75C8">
        <w:trPr>
          <w:trHeight w:val="2348"/>
        </w:trPr>
        <w:tc>
          <w:tcPr>
            <w:tcW w:w="5028" w:type="dxa"/>
          </w:tcPr>
          <w:p w14:paraId="5EA025A5" w14:textId="77777777" w:rsidR="0076316B" w:rsidRPr="009E596E" w:rsidRDefault="0076316B" w:rsidP="0076316B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D11591" w14:textId="15B599E8" w:rsidR="009E596E" w:rsidRDefault="00865BF2" w:rsidP="005F5058">
            <w:pPr>
              <w:pStyle w:val="ListParagraph"/>
              <w:numPr>
                <w:ilvl w:val="0"/>
                <w:numId w:val="14"/>
              </w:num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5F5058">
              <w:rPr>
                <w:rFonts w:ascii="Arial" w:hAnsi="Arial" w:cs="Arial"/>
                <w:sz w:val="22"/>
                <w:szCs w:val="22"/>
              </w:rPr>
              <w:t xml:space="preserve">griculture and </w:t>
            </w:r>
            <w:r w:rsidR="00544DE6">
              <w:rPr>
                <w:rFonts w:ascii="Arial" w:hAnsi="Arial" w:cs="Arial"/>
                <w:sz w:val="22"/>
                <w:szCs w:val="22"/>
              </w:rPr>
              <w:t>f</w:t>
            </w:r>
            <w:r w:rsidR="005F5058">
              <w:rPr>
                <w:rFonts w:ascii="Arial" w:hAnsi="Arial" w:cs="Arial"/>
                <w:sz w:val="22"/>
                <w:szCs w:val="22"/>
              </w:rPr>
              <w:t>ishing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industry</w:t>
            </w:r>
            <w:r w:rsidR="00544DE6">
              <w:rPr>
                <w:rFonts w:ascii="Arial" w:hAnsi="Arial" w:cs="Arial"/>
                <w:sz w:val="22"/>
                <w:szCs w:val="22"/>
              </w:rPr>
              <w:t xml:space="preserve"> is the biggest </w:t>
            </w:r>
            <w:r w:rsidR="005F5058">
              <w:rPr>
                <w:rFonts w:ascii="Arial" w:hAnsi="Arial" w:cs="Arial"/>
                <w:sz w:val="22"/>
                <w:szCs w:val="22"/>
              </w:rPr>
              <w:t>contributor to overall GDP</w:t>
            </w:r>
            <w:r>
              <w:rPr>
                <w:rFonts w:ascii="Arial" w:hAnsi="Arial" w:cs="Arial"/>
                <w:sz w:val="22"/>
                <w:szCs w:val="22"/>
              </w:rPr>
              <w:t xml:space="preserve"> in current prices</w:t>
            </w:r>
            <w:r w:rsidR="005F5058">
              <w:rPr>
                <w:rFonts w:ascii="Arial" w:hAnsi="Arial" w:cs="Arial"/>
                <w:sz w:val="22"/>
                <w:szCs w:val="22"/>
              </w:rPr>
              <w:t xml:space="preserve">, contributing </w:t>
            </w:r>
            <w:r w:rsidR="00544DE6">
              <w:rPr>
                <w:rFonts w:ascii="Arial" w:hAnsi="Arial" w:cs="Arial"/>
                <w:sz w:val="22"/>
                <w:szCs w:val="22"/>
              </w:rPr>
              <w:t>30.8</w:t>
            </w:r>
            <w:r w:rsidR="005F5058">
              <w:rPr>
                <w:rFonts w:ascii="Arial" w:hAnsi="Arial" w:cs="Arial"/>
                <w:sz w:val="22"/>
                <w:szCs w:val="22"/>
              </w:rPr>
              <w:t>% of total GDP</w:t>
            </w:r>
            <w:r w:rsidR="00544DE6">
              <w:rPr>
                <w:rFonts w:ascii="Arial" w:hAnsi="Arial" w:cs="Arial"/>
                <w:sz w:val="22"/>
                <w:szCs w:val="22"/>
              </w:rPr>
              <w:t xml:space="preserve"> in 2017</w:t>
            </w:r>
            <w:r w:rsidR="005F505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575C9">
              <w:rPr>
                <w:rFonts w:ascii="Arial" w:hAnsi="Arial" w:cs="Arial"/>
                <w:sz w:val="22"/>
                <w:szCs w:val="22"/>
              </w:rPr>
              <w:t xml:space="preserve">This is followed by </w:t>
            </w:r>
            <w:r>
              <w:rPr>
                <w:rFonts w:ascii="Arial" w:hAnsi="Arial" w:cs="Arial"/>
                <w:sz w:val="22"/>
                <w:szCs w:val="22"/>
              </w:rPr>
              <w:t>government services at 26.4%, r</w:t>
            </w:r>
            <w:r w:rsidR="003575C9">
              <w:rPr>
                <w:rFonts w:ascii="Arial" w:hAnsi="Arial" w:cs="Arial"/>
                <w:sz w:val="22"/>
                <w:szCs w:val="22"/>
              </w:rPr>
              <w:t xml:space="preserve">eal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575C9">
              <w:rPr>
                <w:rFonts w:ascii="Arial" w:hAnsi="Arial" w:cs="Arial"/>
                <w:sz w:val="22"/>
                <w:szCs w:val="22"/>
              </w:rPr>
              <w:t>state</w:t>
            </w:r>
            <w:r w:rsidR="005F5058">
              <w:rPr>
                <w:rFonts w:ascii="Arial" w:hAnsi="Arial" w:cs="Arial"/>
                <w:sz w:val="22"/>
                <w:szCs w:val="22"/>
              </w:rPr>
              <w:t xml:space="preserve"> at </w:t>
            </w:r>
            <w:r>
              <w:rPr>
                <w:rFonts w:ascii="Arial" w:hAnsi="Arial" w:cs="Arial"/>
                <w:sz w:val="22"/>
                <w:szCs w:val="22"/>
              </w:rPr>
              <w:t>10.9</w:t>
            </w:r>
            <w:r w:rsidR="005F5058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F505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575C9">
              <w:rPr>
                <w:rFonts w:ascii="Arial" w:hAnsi="Arial" w:cs="Arial"/>
                <w:sz w:val="22"/>
                <w:szCs w:val="22"/>
              </w:rPr>
              <w:t xml:space="preserve">holesale and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3575C9">
              <w:rPr>
                <w:rFonts w:ascii="Arial" w:hAnsi="Arial" w:cs="Arial"/>
                <w:sz w:val="22"/>
                <w:szCs w:val="22"/>
              </w:rPr>
              <w:t xml:space="preserve">etail trade at 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  <w:r w:rsidR="00F624B1">
              <w:rPr>
                <w:rFonts w:ascii="Arial" w:hAnsi="Arial" w:cs="Arial"/>
                <w:sz w:val="22"/>
                <w:szCs w:val="22"/>
              </w:rPr>
              <w:t>%.</w:t>
            </w:r>
            <w:r w:rsidR="005F50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35215C" w14:textId="77777777" w:rsidR="005F5058" w:rsidRPr="005F5058" w:rsidRDefault="005F5058" w:rsidP="005F5058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9" w:type="dxa"/>
          </w:tcPr>
          <w:p w14:paraId="014D9D6B" w14:textId="70EC2F9B" w:rsidR="00954912" w:rsidRPr="00B37A9C" w:rsidRDefault="00B37A9C" w:rsidP="004A798F">
            <w:pPr>
              <w:spacing w:before="60" w:line="276" w:lineRule="auto"/>
            </w:pPr>
            <w:r w:rsidRPr="00B37A9C">
              <w:rPr>
                <w:noProof/>
                <w:lang w:eastAsia="zh-TW"/>
              </w:rPr>
              <w:drawing>
                <wp:inline distT="0" distB="0" distL="0" distR="0" wp14:anchorId="39D03561" wp14:editId="61721713">
                  <wp:extent cx="3524250" cy="15748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CC0EE" w14:textId="7ACDB96E" w:rsidR="00CB333F" w:rsidRPr="00544DE6" w:rsidRDefault="00CB333F" w:rsidP="004A798F">
            <w:pPr>
              <w:spacing w:before="6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FCAD8B5" w14:textId="2FEB493E" w:rsidR="007619BF" w:rsidRDefault="007619BF"/>
    <w:p w14:paraId="706593C8" w14:textId="03E34BB5" w:rsidR="00B37A9C" w:rsidRDefault="00B37A9C"/>
    <w:p w14:paraId="41DC0F88" w14:textId="77777777" w:rsidR="00B37A9C" w:rsidRDefault="00B37A9C"/>
    <w:p w14:paraId="647F16D7" w14:textId="77777777" w:rsidR="0042227B" w:rsidRDefault="0042227B"/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4"/>
        <w:gridCol w:w="5699"/>
      </w:tblGrid>
      <w:tr w:rsidR="00954912" w:rsidRPr="0042227B" w14:paraId="5283ACE9" w14:textId="77777777" w:rsidTr="007A19F5">
        <w:tc>
          <w:tcPr>
            <w:tcW w:w="10797" w:type="dxa"/>
            <w:gridSpan w:val="3"/>
          </w:tcPr>
          <w:p w14:paraId="7A9C1FFA" w14:textId="77777777" w:rsidR="00CA141B" w:rsidRPr="0042227B" w:rsidRDefault="002C3A9E" w:rsidP="0042227B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27B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Gross National Income </w:t>
            </w:r>
            <w:r w:rsidR="00E40826">
              <w:rPr>
                <w:rFonts w:ascii="Arial" w:hAnsi="Arial" w:cs="Arial"/>
                <w:b/>
                <w:bCs/>
                <w:szCs w:val="22"/>
              </w:rPr>
              <w:t>and</w:t>
            </w:r>
            <w:r w:rsidRPr="0042227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B6F25">
              <w:rPr>
                <w:rFonts w:ascii="Arial" w:hAnsi="Arial" w:cs="Arial"/>
                <w:b/>
                <w:bCs/>
                <w:szCs w:val="22"/>
              </w:rPr>
              <w:t>Net income</w:t>
            </w:r>
          </w:p>
        </w:tc>
      </w:tr>
      <w:tr w:rsidR="00954912" w:rsidRPr="0042227B" w14:paraId="0BC3B7CE" w14:textId="77777777" w:rsidTr="006C7C8A">
        <w:trPr>
          <w:trHeight w:val="3095"/>
        </w:trPr>
        <w:tc>
          <w:tcPr>
            <w:tcW w:w="5098" w:type="dxa"/>
            <w:gridSpan w:val="2"/>
          </w:tcPr>
          <w:p w14:paraId="208D407C" w14:textId="6DF62CEA" w:rsidR="00116FA0" w:rsidRPr="009220B3" w:rsidRDefault="00B23B21" w:rsidP="00B23B21">
            <w:pPr>
              <w:numPr>
                <w:ilvl w:val="0"/>
                <w:numId w:val="12"/>
              </w:num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220B3">
              <w:rPr>
                <w:rFonts w:ascii="Arial" w:hAnsi="Arial" w:cs="Arial"/>
                <w:bCs/>
                <w:sz w:val="22"/>
                <w:szCs w:val="22"/>
              </w:rPr>
              <w:t>Gross National Income</w:t>
            </w:r>
            <w:r w:rsidR="00290A4F" w:rsidRPr="009220B3">
              <w:rPr>
                <w:rFonts w:ascii="Arial" w:hAnsi="Arial" w:cs="Arial"/>
                <w:bCs/>
                <w:sz w:val="22"/>
                <w:szCs w:val="22"/>
              </w:rPr>
              <w:t xml:space="preserve"> (GNI)</w:t>
            </w:r>
            <w:r w:rsidRPr="009220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329B" w:rsidRPr="009220B3">
              <w:rPr>
                <w:rFonts w:ascii="Arial" w:hAnsi="Arial" w:cs="Arial"/>
                <w:bCs/>
                <w:sz w:val="22"/>
                <w:szCs w:val="22"/>
              </w:rPr>
              <w:t xml:space="preserve">grew steadily from 2007 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to 2015 but has remained at similar levels since 2015</w:t>
            </w:r>
            <w:r w:rsidR="00C43A0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5EFA6B7" w14:textId="0AE55250" w:rsidR="00B23B21" w:rsidRPr="00E41846" w:rsidRDefault="007619BF" w:rsidP="00025FD8">
            <w:pPr>
              <w:numPr>
                <w:ilvl w:val="0"/>
                <w:numId w:val="12"/>
              </w:num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184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16FA0" w:rsidRPr="00E41846">
              <w:rPr>
                <w:rFonts w:ascii="Arial" w:hAnsi="Arial" w:cs="Arial"/>
                <w:bCs/>
                <w:sz w:val="22"/>
                <w:szCs w:val="22"/>
              </w:rPr>
              <w:t xml:space="preserve">et </w:t>
            </w:r>
            <w:r w:rsidR="00D600D8" w:rsidRPr="00E41846">
              <w:rPr>
                <w:rFonts w:ascii="Arial" w:hAnsi="Arial" w:cs="Arial"/>
                <w:bCs/>
                <w:sz w:val="22"/>
                <w:szCs w:val="22"/>
              </w:rPr>
              <w:t xml:space="preserve">property </w:t>
            </w:r>
            <w:r w:rsidR="00116FA0" w:rsidRPr="00E41846">
              <w:rPr>
                <w:rFonts w:ascii="Arial" w:hAnsi="Arial" w:cs="Arial"/>
                <w:bCs/>
                <w:sz w:val="22"/>
                <w:szCs w:val="22"/>
              </w:rPr>
              <w:t>income from abroad</w:t>
            </w:r>
            <w:r w:rsidRPr="00E418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220B3" w:rsidRPr="00E41846">
              <w:rPr>
                <w:rFonts w:ascii="Arial" w:hAnsi="Arial" w:cs="Arial"/>
                <w:bCs/>
                <w:sz w:val="22"/>
                <w:szCs w:val="22"/>
              </w:rPr>
              <w:t>increased by $5.6</w:t>
            </w:r>
            <w:r w:rsidR="00D600D8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05E6" w:rsidRPr="00E4184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D600D8" w:rsidRPr="00E41846">
              <w:rPr>
                <w:rFonts w:ascii="Arial" w:hAnsi="Arial" w:cs="Arial"/>
                <w:bCs/>
                <w:sz w:val="22"/>
                <w:szCs w:val="22"/>
              </w:rPr>
              <w:t>illion</w:t>
            </w:r>
            <w:r w:rsidR="009220B3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(or 2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.0%</w:t>
            </w:r>
            <w:r w:rsidR="00A705E6" w:rsidRPr="00E4184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9220B3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between 2016 and 2017</w:t>
            </w:r>
            <w:r w:rsidR="002C39C6" w:rsidRPr="00E41846">
              <w:rPr>
                <w:rFonts w:ascii="Arial" w:hAnsi="Arial" w:cs="Arial"/>
                <w:bCs/>
                <w:sz w:val="22"/>
                <w:szCs w:val="22"/>
              </w:rPr>
              <w:t>.The $26</w:t>
            </w:r>
            <w:r w:rsidR="00561F33">
              <w:rPr>
                <w:rFonts w:ascii="Arial" w:hAnsi="Arial" w:cs="Arial"/>
                <w:bCs/>
                <w:sz w:val="22"/>
                <w:szCs w:val="22"/>
              </w:rPr>
              <w:t>.2</w:t>
            </w:r>
            <w:r w:rsidR="00D45A95">
              <w:rPr>
                <w:rFonts w:ascii="Arial" w:hAnsi="Arial" w:cs="Arial"/>
                <w:bCs/>
                <w:sz w:val="22"/>
                <w:szCs w:val="22"/>
              </w:rPr>
              <w:t xml:space="preserve"> million </w:t>
            </w:r>
            <w:r w:rsidR="009220B3" w:rsidRPr="00E41846">
              <w:rPr>
                <w:rFonts w:ascii="Arial" w:hAnsi="Arial" w:cs="Arial"/>
                <w:bCs/>
                <w:sz w:val="22"/>
                <w:szCs w:val="22"/>
              </w:rPr>
              <w:t>increase</w:t>
            </w:r>
            <w:r w:rsidR="00A705E6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1077" w:rsidRPr="00E41846">
              <w:rPr>
                <w:rFonts w:ascii="Arial" w:hAnsi="Arial" w:cs="Arial"/>
                <w:bCs/>
                <w:sz w:val="22"/>
                <w:szCs w:val="22"/>
              </w:rPr>
              <w:t>in fishing</w:t>
            </w:r>
            <w:r w:rsidR="002C39C6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license income was offset by a $2</w:t>
            </w:r>
            <w:r w:rsidR="00561F33">
              <w:rPr>
                <w:rFonts w:ascii="Arial" w:hAnsi="Arial" w:cs="Arial"/>
                <w:bCs/>
                <w:sz w:val="22"/>
                <w:szCs w:val="22"/>
              </w:rPr>
              <w:t>4.8</w:t>
            </w:r>
            <w:r w:rsidR="00D45A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D45A95">
              <w:rPr>
                <w:rFonts w:ascii="Arial" w:hAnsi="Arial" w:cs="Arial"/>
                <w:bCs/>
                <w:sz w:val="22"/>
                <w:szCs w:val="22"/>
              </w:rPr>
              <w:t>illion</w:t>
            </w:r>
            <w:r w:rsidR="002C39C6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fall in</w:t>
            </w:r>
            <w:r w:rsidR="00D45A95">
              <w:rPr>
                <w:rFonts w:ascii="Arial" w:hAnsi="Arial" w:cs="Arial"/>
                <w:bCs/>
                <w:sz w:val="22"/>
                <w:szCs w:val="22"/>
              </w:rPr>
              <w:t xml:space="preserve"> Revenue </w:t>
            </w:r>
            <w:proofErr w:type="spellStart"/>
            <w:r w:rsidR="00D45A95">
              <w:rPr>
                <w:rFonts w:ascii="Arial" w:hAnsi="Arial" w:cs="Arial"/>
                <w:bCs/>
                <w:sz w:val="22"/>
                <w:szCs w:val="22"/>
              </w:rPr>
              <w:t>Equalisation</w:t>
            </w:r>
            <w:proofErr w:type="spellEnd"/>
            <w:r w:rsidR="00D45A95">
              <w:rPr>
                <w:rFonts w:ascii="Arial" w:hAnsi="Arial" w:cs="Arial"/>
                <w:bCs/>
                <w:sz w:val="22"/>
                <w:szCs w:val="22"/>
              </w:rPr>
              <w:t xml:space="preserve"> Reserve Fund (RERF) interest and dividend income</w:t>
            </w:r>
            <w:r w:rsidR="002C39C6" w:rsidRPr="00E4184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5DBBA3C" w14:textId="11A7268E" w:rsidR="00290A4F" w:rsidRPr="00E41846" w:rsidRDefault="00290A4F" w:rsidP="0066529A">
            <w:pPr>
              <w:numPr>
                <w:ilvl w:val="0"/>
                <w:numId w:val="12"/>
              </w:num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1846">
              <w:rPr>
                <w:rFonts w:ascii="Arial" w:hAnsi="Arial" w:cs="Arial"/>
                <w:bCs/>
                <w:sz w:val="22"/>
                <w:szCs w:val="22"/>
              </w:rPr>
              <w:t xml:space="preserve">The ratio </w:t>
            </w:r>
            <w:r w:rsidR="0066529A" w:rsidRPr="00E41846">
              <w:rPr>
                <w:rFonts w:ascii="Arial" w:hAnsi="Arial" w:cs="Arial"/>
                <w:bCs/>
                <w:sz w:val="22"/>
                <w:szCs w:val="22"/>
              </w:rPr>
              <w:t xml:space="preserve">of GNI </w:t>
            </w:r>
            <w:r w:rsidR="009220B3" w:rsidRPr="00E41846">
              <w:rPr>
                <w:rFonts w:ascii="Arial" w:hAnsi="Arial" w:cs="Arial"/>
                <w:bCs/>
                <w:sz w:val="22"/>
                <w:szCs w:val="22"/>
              </w:rPr>
              <w:t>to GDP was 196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 xml:space="preserve">.1% </w:t>
            </w:r>
            <w:r w:rsidR="00A705E6" w:rsidRPr="00E41846">
              <w:rPr>
                <w:rFonts w:ascii="Arial" w:hAnsi="Arial" w:cs="Arial"/>
                <w:bCs/>
                <w:sz w:val="22"/>
                <w:szCs w:val="22"/>
              </w:rPr>
              <w:t>in 201</w:t>
            </w:r>
            <w:r w:rsidR="009220B3" w:rsidRPr="00E41846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41846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up from 194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.6%</w:t>
            </w:r>
            <w:r w:rsidR="00E41846" w:rsidRPr="00E41846">
              <w:rPr>
                <w:rFonts w:ascii="Arial" w:hAnsi="Arial" w:cs="Arial"/>
                <w:bCs/>
                <w:sz w:val="22"/>
                <w:szCs w:val="22"/>
              </w:rPr>
              <w:t xml:space="preserve"> in 2016</w:t>
            </w:r>
            <w:r w:rsidR="00A705E6" w:rsidRPr="00E4184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845E06" w14:textId="77777777" w:rsidR="00116FA0" w:rsidRPr="002B13D2" w:rsidRDefault="00116FA0" w:rsidP="00686571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99" w:type="dxa"/>
          </w:tcPr>
          <w:p w14:paraId="7617D7EE" w14:textId="77777777" w:rsidR="00CA141B" w:rsidRPr="0042227B" w:rsidRDefault="0046311F" w:rsidP="00EA07C5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6311F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649FBA2C" wp14:editId="5EB62863">
                  <wp:extent cx="3476625" cy="2085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9F5" w:rsidRPr="0042227B" w14:paraId="36727B52" w14:textId="77777777" w:rsidTr="007A19F5">
        <w:tc>
          <w:tcPr>
            <w:tcW w:w="10797" w:type="dxa"/>
            <w:gridSpan w:val="3"/>
          </w:tcPr>
          <w:p w14:paraId="6E6F1481" w14:textId="77777777" w:rsidR="007A19F5" w:rsidRPr="0042227B" w:rsidRDefault="00E41846" w:rsidP="0023383E">
            <w:pPr>
              <w:spacing w:before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Revisions</w:t>
            </w:r>
          </w:p>
        </w:tc>
      </w:tr>
      <w:tr w:rsidR="006D0405" w:rsidRPr="0042227B" w14:paraId="3143BF7E" w14:textId="77777777" w:rsidTr="006C7C8A">
        <w:trPr>
          <w:trHeight w:val="3095"/>
        </w:trPr>
        <w:tc>
          <w:tcPr>
            <w:tcW w:w="5098" w:type="dxa"/>
            <w:gridSpan w:val="2"/>
          </w:tcPr>
          <w:p w14:paraId="60F1C657" w14:textId="33AC4E6E" w:rsidR="00A621E6" w:rsidRDefault="006E5D12" w:rsidP="00E20B88">
            <w:pPr>
              <w:numPr>
                <w:ilvl w:val="0"/>
                <w:numId w:val="12"/>
              </w:num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revised and previous GDP levels were generally close 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2014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0C5F8B">
              <w:rPr>
                <w:rFonts w:ascii="Arial" w:hAnsi="Arial" w:cs="Arial"/>
                <w:bCs/>
                <w:sz w:val="22"/>
                <w:szCs w:val="22"/>
              </w:rPr>
              <w:t>2015, but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diverged in 2016</w:t>
            </w:r>
            <w:r w:rsidR="00C43A0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652D15F" w14:textId="7473233D" w:rsidR="006E5D12" w:rsidRPr="00E20B88" w:rsidRDefault="006E5D12" w:rsidP="002B2D5D">
            <w:pPr>
              <w:numPr>
                <w:ilvl w:val="0"/>
                <w:numId w:val="12"/>
              </w:num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2016 growth rate</w:t>
            </w:r>
            <w:r w:rsidR="00BD57DF">
              <w:rPr>
                <w:rFonts w:ascii="Arial" w:hAnsi="Arial" w:cs="Arial"/>
                <w:bCs/>
                <w:sz w:val="22"/>
                <w:szCs w:val="22"/>
              </w:rPr>
              <w:t xml:space="preserve">, measured at constant prices,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was revised </w:t>
            </w:r>
            <w:r w:rsidR="000C5F8B">
              <w:rPr>
                <w:rFonts w:ascii="Arial" w:hAnsi="Arial" w:cs="Arial"/>
                <w:bCs/>
                <w:sz w:val="22"/>
                <w:szCs w:val="22"/>
              </w:rPr>
              <w:t>up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wards</w:t>
            </w:r>
            <w:r w:rsidR="000C5F8B">
              <w:rPr>
                <w:rFonts w:ascii="Arial" w:hAnsi="Arial" w:cs="Arial"/>
                <w:bCs/>
                <w:sz w:val="22"/>
                <w:szCs w:val="22"/>
              </w:rPr>
              <w:t xml:space="preserve"> from 1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="000C5F8B">
              <w:rPr>
                <w:rFonts w:ascii="Arial" w:hAnsi="Arial" w:cs="Arial"/>
                <w:bCs/>
                <w:sz w:val="22"/>
                <w:szCs w:val="22"/>
              </w:rPr>
              <w:t>% to 5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0C5F8B">
              <w:rPr>
                <w:rFonts w:ascii="Arial" w:hAnsi="Arial" w:cs="Arial"/>
                <w:bCs/>
                <w:sz w:val="22"/>
                <w:szCs w:val="22"/>
              </w:rPr>
              <w:t xml:space="preserve">%. </w:t>
            </w:r>
            <w:r w:rsidR="002B2D5D">
              <w:rPr>
                <w:rFonts w:ascii="Arial" w:hAnsi="Arial" w:cs="Arial"/>
                <w:bCs/>
                <w:sz w:val="22"/>
                <w:szCs w:val="22"/>
              </w:rPr>
              <w:t xml:space="preserve">The revision was due to 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 xml:space="preserve">incorporating final </w:t>
            </w:r>
            <w:r w:rsidR="002B2D5D">
              <w:rPr>
                <w:rFonts w:ascii="Arial" w:hAnsi="Arial" w:cs="Arial"/>
                <w:bCs/>
                <w:sz w:val="22"/>
                <w:szCs w:val="22"/>
              </w:rPr>
              <w:t>construction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 xml:space="preserve"> data and </w:t>
            </w:r>
            <w:r w:rsidR="002B2D5D">
              <w:rPr>
                <w:rFonts w:ascii="Arial" w:hAnsi="Arial" w:cs="Arial"/>
                <w:bCs/>
                <w:sz w:val="22"/>
                <w:szCs w:val="22"/>
              </w:rPr>
              <w:t>SOE financial accounts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B2D5D">
              <w:rPr>
                <w:rFonts w:ascii="Arial" w:hAnsi="Arial" w:cs="Arial"/>
                <w:bCs/>
                <w:sz w:val="22"/>
                <w:szCs w:val="22"/>
              </w:rPr>
              <w:t xml:space="preserve"> and a change in 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2B2D5D">
              <w:rPr>
                <w:rFonts w:ascii="Arial" w:hAnsi="Arial" w:cs="Arial"/>
                <w:bCs/>
                <w:sz w:val="22"/>
                <w:szCs w:val="22"/>
              </w:rPr>
              <w:t xml:space="preserve"> method </w:t>
            </w:r>
            <w:r w:rsidR="00865BF2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="002B2D5D">
              <w:rPr>
                <w:rFonts w:ascii="Arial" w:hAnsi="Arial" w:cs="Arial"/>
                <w:bCs/>
                <w:sz w:val="22"/>
                <w:szCs w:val="22"/>
              </w:rPr>
              <w:t xml:space="preserve"> deflating the copra subsidy.</w:t>
            </w:r>
          </w:p>
        </w:tc>
        <w:tc>
          <w:tcPr>
            <w:tcW w:w="5699" w:type="dxa"/>
          </w:tcPr>
          <w:p w14:paraId="2236F438" w14:textId="77777777" w:rsidR="006D0405" w:rsidRDefault="003575C9" w:rsidP="00EA07C5">
            <w:pPr>
              <w:spacing w:before="60" w:line="276" w:lineRule="auto"/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</w:pPr>
            <w:r w:rsidRPr="003575C9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0D384837" wp14:editId="43372F2F">
                  <wp:extent cx="3476625" cy="20859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A1C" w:rsidRPr="0042227B" w14:paraId="5CD55366" w14:textId="77777777" w:rsidTr="006C7C8A">
        <w:tc>
          <w:tcPr>
            <w:tcW w:w="10797" w:type="dxa"/>
            <w:gridSpan w:val="3"/>
            <w:tcBorders>
              <w:bottom w:val="single" w:sz="4" w:space="0" w:color="auto"/>
            </w:tcBorders>
          </w:tcPr>
          <w:p w14:paraId="0F1612A1" w14:textId="235FE9E6" w:rsidR="00841A1C" w:rsidRPr="0042227B" w:rsidRDefault="001D6B12" w:rsidP="0046311F">
            <w:pPr>
              <w:spacing w:before="6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Gross Domestic Product by Expenditure</w:t>
            </w:r>
          </w:p>
        </w:tc>
      </w:tr>
      <w:tr w:rsidR="00BD57DF" w:rsidRPr="0042227B" w14:paraId="0D4DDCD6" w14:textId="77777777" w:rsidTr="00BD57DF">
        <w:trPr>
          <w:trHeight w:val="2437"/>
        </w:trPr>
        <w:tc>
          <w:tcPr>
            <w:tcW w:w="4644" w:type="dxa"/>
            <w:tcBorders>
              <w:top w:val="nil"/>
            </w:tcBorders>
          </w:tcPr>
          <w:p w14:paraId="0479A5EA" w14:textId="2819FFD3" w:rsidR="00BD57DF" w:rsidRDefault="00BD57DF" w:rsidP="00BD57DF">
            <w:pPr>
              <w:pStyle w:val="ListParagraph"/>
              <w:numPr>
                <w:ilvl w:val="0"/>
                <w:numId w:val="18"/>
              </w:numPr>
              <w:spacing w:before="60" w:line="276" w:lineRule="auto"/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This is the first release of GDP by Expenditure (GDP(E)</w:t>
            </w:r>
            <w:r w:rsidR="00C43A02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) in current and constant prices from 2007–2017</w:t>
            </w:r>
            <w:r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.</w:t>
            </w:r>
          </w:p>
          <w:p w14:paraId="0F1A0932" w14:textId="4D51FDDD" w:rsidR="00BD57DF" w:rsidRDefault="00BD57DF" w:rsidP="00BD57DF">
            <w:pPr>
              <w:pStyle w:val="ListParagraph"/>
              <w:numPr>
                <w:ilvl w:val="0"/>
                <w:numId w:val="18"/>
              </w:numPr>
              <w:spacing w:before="60" w:line="276" w:lineRule="auto"/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</w:pPr>
            <w:r w:rsidRPr="00BD57DF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GDP(E) sums up all the expenditures made on final goods and services within Kiribati</w:t>
            </w:r>
            <w:r w:rsidR="00C43A02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, showing</w:t>
            </w:r>
            <w:r w:rsidRPr="00BD57DF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 xml:space="preserve"> an alternative way to measure the total value of goods and services produced</w:t>
            </w:r>
            <w:r w:rsidR="00C43A02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 xml:space="preserve"> (GDP(P)).</w:t>
            </w:r>
          </w:p>
          <w:p w14:paraId="6F2B9521" w14:textId="04F3A448" w:rsidR="00BD57DF" w:rsidRDefault="00BD57DF" w:rsidP="00BD57DF">
            <w:pPr>
              <w:pStyle w:val="ListParagraph"/>
              <w:numPr>
                <w:ilvl w:val="0"/>
                <w:numId w:val="18"/>
              </w:numPr>
              <w:spacing w:before="60" w:line="276" w:lineRule="auto"/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</w:pPr>
            <w:r w:rsidRPr="00BD57DF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 xml:space="preserve">The </w:t>
            </w:r>
            <w:r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statistical discrepa</w:t>
            </w:r>
            <w:r w:rsidR="00D45A95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n</w:t>
            </w:r>
            <w:r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 xml:space="preserve">cy </w:t>
            </w:r>
            <w:r w:rsidRPr="00BD57DF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 xml:space="preserve">provides a measure of error that enables a critical examination of </w:t>
            </w:r>
            <w:r w:rsidR="00C43A02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 xml:space="preserve">the </w:t>
            </w:r>
            <w:r w:rsidRPr="00BD57DF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data sources and methodology</w:t>
            </w:r>
            <w:r w:rsidR="00C43A02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.</w:t>
            </w:r>
          </w:p>
          <w:p w14:paraId="6A2BDF64" w14:textId="361E0800" w:rsidR="00C43A02" w:rsidRPr="00BD57DF" w:rsidRDefault="00C43A02" w:rsidP="00BD57DF">
            <w:pPr>
              <w:pStyle w:val="ListParagraph"/>
              <w:numPr>
                <w:ilvl w:val="0"/>
                <w:numId w:val="18"/>
              </w:numPr>
              <w:spacing w:before="60" w:line="276" w:lineRule="auto"/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>The table illustrates the type of information that is available. Please contact the KNSO for a full set of tables.</w:t>
            </w:r>
          </w:p>
        </w:tc>
        <w:tc>
          <w:tcPr>
            <w:tcW w:w="6153" w:type="dxa"/>
            <w:gridSpan w:val="2"/>
            <w:tcBorders>
              <w:top w:val="nil"/>
            </w:tcBorders>
          </w:tcPr>
          <w:p w14:paraId="713B5C39" w14:textId="042C64A7" w:rsidR="00BD57DF" w:rsidRDefault="00C43A02" w:rsidP="00841A1C">
            <w:pPr>
              <w:spacing w:before="60" w:line="276" w:lineRule="auto"/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C43A02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6D0DF684" wp14:editId="285FF450">
                  <wp:extent cx="3764915" cy="2490470"/>
                  <wp:effectExtent l="0" t="0" r="698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915" cy="249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DC765" w14:textId="64AC9C51" w:rsidR="0042227B" w:rsidRDefault="0042227B" w:rsidP="00A466E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CF5AF7C" w14:textId="4D11412C" w:rsidR="00BD57DF" w:rsidRDefault="00BD57DF" w:rsidP="00A466E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4775CBC" w14:textId="29FE1CE9" w:rsidR="001E46D2" w:rsidRDefault="001E46D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3655E6B" w14:textId="15665637" w:rsidR="00A466ED" w:rsidRPr="0042227B" w:rsidRDefault="007619BF" w:rsidP="00C43A02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5C4ABB" w:rsidRPr="0042227B">
        <w:rPr>
          <w:rFonts w:ascii="Arial" w:hAnsi="Arial" w:cs="Arial"/>
          <w:b/>
          <w:sz w:val="28"/>
          <w:szCs w:val="28"/>
        </w:rPr>
        <w:lastRenderedPageBreak/>
        <w:t>Background information</w:t>
      </w:r>
    </w:p>
    <w:p w14:paraId="42E4228F" w14:textId="4109CD46" w:rsidR="008F754B" w:rsidRPr="0042227B" w:rsidRDefault="005C4ABB" w:rsidP="00457FBB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2227B">
        <w:rPr>
          <w:rFonts w:ascii="Arial" w:hAnsi="Arial" w:cs="Arial"/>
          <w:sz w:val="22"/>
          <w:szCs w:val="22"/>
        </w:rPr>
        <w:t>Compilation of the accounts</w:t>
      </w:r>
      <w:r w:rsidR="00D159DE" w:rsidRPr="0042227B">
        <w:rPr>
          <w:rFonts w:ascii="Arial" w:hAnsi="Arial" w:cs="Arial"/>
          <w:sz w:val="22"/>
          <w:szCs w:val="22"/>
        </w:rPr>
        <w:br/>
      </w:r>
      <w:r w:rsidR="00596FB7">
        <w:rPr>
          <w:rFonts w:ascii="Arial" w:hAnsi="Arial" w:cs="Arial"/>
          <w:sz w:val="22"/>
          <w:szCs w:val="22"/>
        </w:rPr>
        <w:t>T</w:t>
      </w:r>
      <w:r w:rsidR="00596FB7" w:rsidRPr="0042227B">
        <w:rPr>
          <w:rFonts w:ascii="Arial" w:hAnsi="Arial" w:cs="Arial"/>
          <w:sz w:val="22"/>
          <w:szCs w:val="22"/>
        </w:rPr>
        <w:t>his</w:t>
      </w:r>
      <w:r w:rsidR="00596FB7">
        <w:rPr>
          <w:rFonts w:ascii="Arial" w:hAnsi="Arial" w:cs="Arial"/>
          <w:sz w:val="22"/>
          <w:szCs w:val="22"/>
        </w:rPr>
        <w:t xml:space="preserve"> release is the</w:t>
      </w:r>
      <w:r w:rsidR="008F754B" w:rsidRPr="0042227B">
        <w:rPr>
          <w:rFonts w:ascii="Arial" w:hAnsi="Arial" w:cs="Arial"/>
          <w:sz w:val="22"/>
          <w:szCs w:val="22"/>
        </w:rPr>
        <w:t xml:space="preserve"> preliminary release of </w:t>
      </w:r>
      <w:r w:rsidR="004B6D14">
        <w:rPr>
          <w:rFonts w:ascii="Arial" w:hAnsi="Arial" w:cs="Arial"/>
          <w:sz w:val="22"/>
          <w:szCs w:val="22"/>
        </w:rPr>
        <w:t>data for the 201</w:t>
      </w:r>
      <w:r w:rsidR="001D6B12">
        <w:rPr>
          <w:rFonts w:ascii="Arial" w:hAnsi="Arial" w:cs="Arial"/>
          <w:sz w:val="22"/>
          <w:szCs w:val="22"/>
        </w:rPr>
        <w:t>7</w:t>
      </w:r>
      <w:r w:rsidR="00054F7E">
        <w:rPr>
          <w:rFonts w:ascii="Arial" w:hAnsi="Arial" w:cs="Arial"/>
          <w:sz w:val="22"/>
          <w:szCs w:val="22"/>
        </w:rPr>
        <w:t xml:space="preserve"> f</w:t>
      </w:r>
      <w:r w:rsidR="008F754B" w:rsidRPr="0042227B">
        <w:rPr>
          <w:rFonts w:ascii="Arial" w:hAnsi="Arial" w:cs="Arial"/>
          <w:sz w:val="22"/>
          <w:szCs w:val="22"/>
        </w:rPr>
        <w:t>inancial year and revisions to earlier years. The re</w:t>
      </w:r>
      <w:r w:rsidR="002B13D2">
        <w:rPr>
          <w:rFonts w:ascii="Arial" w:hAnsi="Arial" w:cs="Arial"/>
          <w:sz w:val="22"/>
          <w:szCs w:val="22"/>
        </w:rPr>
        <w:t xml:space="preserve">lease contains data from </w:t>
      </w:r>
      <w:r w:rsidR="00B40038">
        <w:rPr>
          <w:rFonts w:ascii="Arial" w:hAnsi="Arial" w:cs="Arial"/>
          <w:sz w:val="22"/>
          <w:szCs w:val="22"/>
        </w:rPr>
        <w:t>200</w:t>
      </w:r>
      <w:r w:rsidR="001D6B12">
        <w:rPr>
          <w:rFonts w:ascii="Arial" w:hAnsi="Arial" w:cs="Arial"/>
          <w:sz w:val="22"/>
          <w:szCs w:val="22"/>
        </w:rPr>
        <w:t>7</w:t>
      </w:r>
      <w:r w:rsidR="00B40038">
        <w:rPr>
          <w:rFonts w:ascii="Arial" w:hAnsi="Arial" w:cs="Arial"/>
          <w:sz w:val="22"/>
          <w:szCs w:val="22"/>
        </w:rPr>
        <w:t xml:space="preserve"> to</w:t>
      </w:r>
      <w:r w:rsidR="004B6D14">
        <w:rPr>
          <w:rFonts w:ascii="Arial" w:hAnsi="Arial" w:cs="Arial"/>
          <w:sz w:val="22"/>
          <w:szCs w:val="22"/>
        </w:rPr>
        <w:t xml:space="preserve"> 201</w:t>
      </w:r>
      <w:r w:rsidR="001D6B12">
        <w:rPr>
          <w:rFonts w:ascii="Arial" w:hAnsi="Arial" w:cs="Arial"/>
          <w:sz w:val="22"/>
          <w:szCs w:val="22"/>
        </w:rPr>
        <w:t>7</w:t>
      </w:r>
      <w:r w:rsidR="008F754B" w:rsidRPr="0042227B">
        <w:rPr>
          <w:rFonts w:ascii="Arial" w:hAnsi="Arial" w:cs="Arial"/>
          <w:sz w:val="22"/>
          <w:szCs w:val="22"/>
        </w:rPr>
        <w:t xml:space="preserve"> and provides annual estimates for pr</w:t>
      </w:r>
      <w:r w:rsidR="005D2846" w:rsidRPr="0042227B">
        <w:rPr>
          <w:rFonts w:ascii="Arial" w:hAnsi="Arial" w:cs="Arial"/>
          <w:sz w:val="22"/>
          <w:szCs w:val="22"/>
        </w:rPr>
        <w:t>oduction</w:t>
      </w:r>
      <w:r w:rsidR="00C43A02">
        <w:rPr>
          <w:rFonts w:ascii="Arial" w:hAnsi="Arial" w:cs="Arial"/>
          <w:sz w:val="22"/>
          <w:szCs w:val="22"/>
        </w:rPr>
        <w:t>, expenditure</w:t>
      </w:r>
      <w:r w:rsidR="005D2846" w:rsidRPr="0042227B">
        <w:rPr>
          <w:rFonts w:ascii="Arial" w:hAnsi="Arial" w:cs="Arial"/>
          <w:sz w:val="22"/>
          <w:szCs w:val="22"/>
        </w:rPr>
        <w:t>,</w:t>
      </w:r>
      <w:r w:rsidR="008F754B" w:rsidRPr="0042227B">
        <w:rPr>
          <w:rFonts w:ascii="Arial" w:hAnsi="Arial" w:cs="Arial"/>
          <w:sz w:val="22"/>
          <w:szCs w:val="22"/>
        </w:rPr>
        <w:t xml:space="preserve"> gross national income and gross national disposable income. </w:t>
      </w:r>
    </w:p>
    <w:p w14:paraId="450EB32C" w14:textId="556180AB" w:rsidR="00054F7E" w:rsidRDefault="00054F7E" w:rsidP="00457FBB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sources</w:t>
      </w:r>
      <w:r>
        <w:rPr>
          <w:rFonts w:ascii="Arial" w:hAnsi="Arial" w:cs="Arial"/>
          <w:sz w:val="22"/>
          <w:szCs w:val="22"/>
        </w:rPr>
        <w:br/>
        <w:t xml:space="preserve">Data mostly comes from administrative data from Customs and the Government financial accounts, as well as annual financial accounts from public enterprises. </w:t>
      </w:r>
      <w:r w:rsidR="00826F68">
        <w:rPr>
          <w:rFonts w:ascii="Arial" w:hAnsi="Arial" w:cs="Arial"/>
          <w:sz w:val="22"/>
          <w:szCs w:val="22"/>
        </w:rPr>
        <w:t>Deflators are mainly source</w:t>
      </w:r>
      <w:r w:rsidR="002A75C8">
        <w:rPr>
          <w:rFonts w:ascii="Arial" w:hAnsi="Arial" w:cs="Arial"/>
          <w:sz w:val="22"/>
          <w:szCs w:val="22"/>
        </w:rPr>
        <w:t>d</w:t>
      </w:r>
      <w:r w:rsidR="00826F68">
        <w:rPr>
          <w:rFonts w:ascii="Arial" w:hAnsi="Arial" w:cs="Arial"/>
          <w:sz w:val="22"/>
          <w:szCs w:val="22"/>
        </w:rPr>
        <w:t xml:space="preserve"> from the Kiribati Retail Price Index.</w:t>
      </w:r>
      <w:r w:rsidR="00C43A02">
        <w:rPr>
          <w:rFonts w:ascii="Arial" w:hAnsi="Arial" w:cs="Arial"/>
          <w:sz w:val="22"/>
          <w:szCs w:val="22"/>
        </w:rPr>
        <w:t xml:space="preserve"> Please contact the KNSO to obtain a copy of the sources and methods document.</w:t>
      </w:r>
    </w:p>
    <w:p w14:paraId="5FFC760D" w14:textId="77777777" w:rsidR="00EA07C5" w:rsidRPr="0042227B" w:rsidRDefault="002B0CC9" w:rsidP="00457FBB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2227B">
        <w:rPr>
          <w:rFonts w:ascii="Arial" w:hAnsi="Arial" w:cs="Arial"/>
          <w:sz w:val="22"/>
          <w:szCs w:val="22"/>
        </w:rPr>
        <w:t>Constant price (real) GDP</w:t>
      </w:r>
      <w:r w:rsidR="00457FBB" w:rsidRPr="0042227B">
        <w:rPr>
          <w:rFonts w:ascii="Arial" w:hAnsi="Arial" w:cs="Arial"/>
          <w:sz w:val="22"/>
          <w:szCs w:val="22"/>
        </w:rPr>
        <w:br/>
      </w:r>
      <w:r w:rsidRPr="0042227B">
        <w:rPr>
          <w:rFonts w:ascii="Arial" w:hAnsi="Arial" w:cs="Arial"/>
          <w:sz w:val="22"/>
          <w:szCs w:val="22"/>
        </w:rPr>
        <w:t>R</w:t>
      </w:r>
      <w:r w:rsidR="00EA07C5" w:rsidRPr="0042227B">
        <w:rPr>
          <w:rFonts w:ascii="Arial" w:hAnsi="Arial" w:cs="Arial"/>
          <w:sz w:val="22"/>
          <w:szCs w:val="22"/>
        </w:rPr>
        <w:t xml:space="preserve">eal GDP </w:t>
      </w:r>
      <w:r w:rsidR="008C60E0" w:rsidRPr="0042227B">
        <w:rPr>
          <w:rFonts w:ascii="Arial" w:hAnsi="Arial" w:cs="Arial"/>
          <w:sz w:val="22"/>
          <w:szCs w:val="22"/>
        </w:rPr>
        <w:t xml:space="preserve">is </w:t>
      </w:r>
      <w:r w:rsidR="00EA07C5" w:rsidRPr="0042227B">
        <w:rPr>
          <w:rFonts w:ascii="Arial" w:hAnsi="Arial" w:cs="Arial"/>
          <w:sz w:val="22"/>
          <w:szCs w:val="22"/>
        </w:rPr>
        <w:t xml:space="preserve">expressed in </w:t>
      </w:r>
      <w:r w:rsidR="005D2846" w:rsidRPr="0042227B">
        <w:rPr>
          <w:rFonts w:ascii="Arial" w:hAnsi="Arial" w:cs="Arial"/>
          <w:sz w:val="22"/>
          <w:szCs w:val="22"/>
        </w:rPr>
        <w:t>the base-year prices for 2006</w:t>
      </w:r>
      <w:r w:rsidRPr="0042227B">
        <w:rPr>
          <w:rFonts w:ascii="Arial" w:hAnsi="Arial" w:cs="Arial"/>
          <w:sz w:val="22"/>
          <w:szCs w:val="22"/>
        </w:rPr>
        <w:t xml:space="preserve">. </w:t>
      </w:r>
      <w:r w:rsidR="00EA07C5" w:rsidRPr="0042227B">
        <w:rPr>
          <w:rFonts w:ascii="Arial" w:hAnsi="Arial" w:cs="Arial"/>
          <w:sz w:val="22"/>
          <w:szCs w:val="22"/>
        </w:rPr>
        <w:t xml:space="preserve">The purpose of GDP revaluation by base-year prices (real GDP) is to eliminate the effects of price changes/inflation in time series of GDP, so that changes in the series represent the changes in the physical volume of goods and services. Inter-temporal comparisons of GDP or other related figures should be measured in real prices. </w:t>
      </w:r>
    </w:p>
    <w:p w14:paraId="7349AD1B" w14:textId="06E9C899" w:rsidR="00D159DE" w:rsidRPr="00721709" w:rsidRDefault="00457FBB" w:rsidP="00721709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2227B">
        <w:rPr>
          <w:rFonts w:ascii="Arial" w:hAnsi="Arial" w:cs="Arial"/>
          <w:sz w:val="22"/>
          <w:szCs w:val="22"/>
        </w:rPr>
        <w:t>Acknowledgement</w:t>
      </w:r>
      <w:r w:rsidRPr="0042227B">
        <w:rPr>
          <w:rFonts w:ascii="Arial" w:hAnsi="Arial" w:cs="Arial"/>
          <w:sz w:val="22"/>
          <w:szCs w:val="22"/>
        </w:rPr>
        <w:br/>
        <w:t>The Statistics Departmen</w:t>
      </w:r>
      <w:r w:rsidR="003D49BC" w:rsidRPr="0042227B">
        <w:rPr>
          <w:rFonts w:ascii="Arial" w:hAnsi="Arial" w:cs="Arial"/>
          <w:sz w:val="22"/>
          <w:szCs w:val="22"/>
        </w:rPr>
        <w:t xml:space="preserve">t wishes to </w:t>
      </w:r>
      <w:r w:rsidR="008867BC" w:rsidRPr="0042227B">
        <w:rPr>
          <w:rFonts w:ascii="Arial" w:hAnsi="Arial" w:cs="Arial"/>
          <w:sz w:val="22"/>
          <w:szCs w:val="22"/>
        </w:rPr>
        <w:t>thank Government</w:t>
      </w:r>
      <w:r w:rsidRPr="0042227B">
        <w:rPr>
          <w:rFonts w:ascii="Arial" w:hAnsi="Arial" w:cs="Arial"/>
          <w:sz w:val="22"/>
          <w:szCs w:val="22"/>
        </w:rPr>
        <w:t xml:space="preserve"> </w:t>
      </w:r>
      <w:r w:rsidR="00BD444B" w:rsidRPr="0042227B">
        <w:rPr>
          <w:rFonts w:ascii="Arial" w:hAnsi="Arial" w:cs="Arial"/>
          <w:sz w:val="22"/>
          <w:szCs w:val="22"/>
        </w:rPr>
        <w:t>ministries</w:t>
      </w:r>
      <w:r w:rsidRPr="0042227B">
        <w:rPr>
          <w:rFonts w:ascii="Arial" w:hAnsi="Arial" w:cs="Arial"/>
          <w:sz w:val="22"/>
          <w:szCs w:val="22"/>
        </w:rPr>
        <w:t xml:space="preserve"> </w:t>
      </w:r>
      <w:r w:rsidR="00992D8E" w:rsidRPr="0042227B">
        <w:rPr>
          <w:rFonts w:ascii="Arial" w:hAnsi="Arial" w:cs="Arial"/>
          <w:sz w:val="22"/>
          <w:szCs w:val="22"/>
        </w:rPr>
        <w:t>that</w:t>
      </w:r>
      <w:r w:rsidRPr="0042227B">
        <w:rPr>
          <w:rFonts w:ascii="Arial" w:hAnsi="Arial" w:cs="Arial"/>
          <w:sz w:val="22"/>
          <w:szCs w:val="22"/>
        </w:rPr>
        <w:t xml:space="preserve"> supplied data for use </w:t>
      </w:r>
      <w:r w:rsidR="00026ADB" w:rsidRPr="0042227B">
        <w:rPr>
          <w:rFonts w:ascii="Arial" w:hAnsi="Arial" w:cs="Arial"/>
          <w:sz w:val="22"/>
          <w:szCs w:val="22"/>
        </w:rPr>
        <w:t xml:space="preserve">in </w:t>
      </w:r>
      <w:r w:rsidRPr="0042227B">
        <w:rPr>
          <w:rFonts w:ascii="Arial" w:hAnsi="Arial" w:cs="Arial"/>
          <w:sz w:val="22"/>
          <w:szCs w:val="22"/>
        </w:rPr>
        <w:t xml:space="preserve">these </w:t>
      </w:r>
      <w:r w:rsidR="003D49BC" w:rsidRPr="0042227B">
        <w:rPr>
          <w:rFonts w:ascii="Arial" w:hAnsi="Arial" w:cs="Arial"/>
          <w:sz w:val="22"/>
          <w:szCs w:val="22"/>
        </w:rPr>
        <w:t xml:space="preserve">estimates and </w:t>
      </w:r>
      <w:r w:rsidR="00262E50" w:rsidRPr="0042227B">
        <w:rPr>
          <w:rFonts w:ascii="Arial" w:hAnsi="Arial" w:cs="Arial"/>
          <w:sz w:val="22"/>
          <w:szCs w:val="22"/>
        </w:rPr>
        <w:t>al</w:t>
      </w:r>
      <w:r w:rsidR="003D49BC" w:rsidRPr="0042227B">
        <w:rPr>
          <w:rFonts w:ascii="Arial" w:hAnsi="Arial" w:cs="Arial"/>
          <w:sz w:val="22"/>
          <w:szCs w:val="22"/>
        </w:rPr>
        <w:t>so special thanks to</w:t>
      </w:r>
      <w:r w:rsidR="00721709">
        <w:rPr>
          <w:rFonts w:ascii="Arial" w:hAnsi="Arial" w:cs="Arial"/>
          <w:sz w:val="22"/>
          <w:szCs w:val="22"/>
        </w:rPr>
        <w:t xml:space="preserve"> PFTAC technical a</w:t>
      </w:r>
      <w:r w:rsidR="00DC5E03" w:rsidRPr="0042227B">
        <w:rPr>
          <w:rFonts w:ascii="Arial" w:hAnsi="Arial" w:cs="Arial"/>
          <w:sz w:val="22"/>
          <w:szCs w:val="22"/>
        </w:rPr>
        <w:t>ssistance</w:t>
      </w:r>
      <w:r w:rsidR="00721709">
        <w:rPr>
          <w:rFonts w:ascii="Arial" w:hAnsi="Arial" w:cs="Arial"/>
          <w:sz w:val="22"/>
          <w:szCs w:val="22"/>
        </w:rPr>
        <w:t xml:space="preserve"> from</w:t>
      </w:r>
      <w:r w:rsidR="003D49BC" w:rsidRPr="0042227B">
        <w:rPr>
          <w:rFonts w:ascii="Arial" w:hAnsi="Arial" w:cs="Arial"/>
          <w:sz w:val="22"/>
          <w:szCs w:val="22"/>
        </w:rPr>
        <w:t xml:space="preserve"> Anne Mc</w:t>
      </w:r>
      <w:r w:rsidR="00721709">
        <w:rPr>
          <w:rFonts w:ascii="Arial" w:hAnsi="Arial" w:cs="Arial"/>
          <w:sz w:val="22"/>
          <w:szCs w:val="22"/>
        </w:rPr>
        <w:t>A</w:t>
      </w:r>
      <w:r w:rsidR="003D49BC" w:rsidRPr="00721709">
        <w:rPr>
          <w:rFonts w:ascii="Arial" w:hAnsi="Arial" w:cs="Arial"/>
          <w:sz w:val="22"/>
          <w:szCs w:val="22"/>
        </w:rPr>
        <w:t xml:space="preserve">llister in finalizing </w:t>
      </w:r>
      <w:r w:rsidR="004B6D14">
        <w:rPr>
          <w:rFonts w:ascii="Arial" w:hAnsi="Arial" w:cs="Arial"/>
          <w:sz w:val="22"/>
          <w:szCs w:val="22"/>
        </w:rPr>
        <w:t>GDP201</w:t>
      </w:r>
      <w:r w:rsidR="001D6B12">
        <w:rPr>
          <w:rFonts w:ascii="Arial" w:hAnsi="Arial" w:cs="Arial"/>
          <w:sz w:val="22"/>
          <w:szCs w:val="22"/>
        </w:rPr>
        <w:t>7</w:t>
      </w:r>
      <w:r w:rsidR="003D49BC" w:rsidRPr="00721709">
        <w:rPr>
          <w:rFonts w:ascii="Arial" w:hAnsi="Arial" w:cs="Arial"/>
          <w:sz w:val="22"/>
          <w:szCs w:val="22"/>
        </w:rPr>
        <w:t>.</w:t>
      </w:r>
    </w:p>
    <w:sectPr w:rsidR="00D159DE" w:rsidRPr="00721709" w:rsidSect="00714D19">
      <w:headerReference w:type="default" r:id="rId14"/>
      <w:footerReference w:type="default" r:id="rId15"/>
      <w:pgSz w:w="11907" w:h="16840" w:code="9"/>
      <w:pgMar w:top="873" w:right="663" w:bottom="873" w:left="66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C8F9" w14:textId="77777777" w:rsidR="002B54C5" w:rsidRDefault="002B54C5" w:rsidP="00634E7E">
      <w:pPr>
        <w:spacing w:line="240" w:lineRule="auto"/>
      </w:pPr>
      <w:r>
        <w:separator/>
      </w:r>
    </w:p>
  </w:endnote>
  <w:endnote w:type="continuationSeparator" w:id="0">
    <w:p w14:paraId="3256B312" w14:textId="77777777" w:rsidR="002B54C5" w:rsidRDefault="002B54C5" w:rsidP="0063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0EA8" w14:textId="77777777" w:rsidR="00670400" w:rsidRDefault="00670400" w:rsidP="009C0602">
    <w:pPr>
      <w:pStyle w:val="Footer"/>
      <w:tabs>
        <w:tab w:val="clear" w:pos="9360"/>
        <w:tab w:val="right" w:pos="10530"/>
        <w:tab w:val="left" w:pos="10581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46D30771" w14:textId="6FB36B55" w:rsidR="00670400" w:rsidRPr="00634E7E" w:rsidRDefault="00670400" w:rsidP="00634E7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AU"/>
      </w:rPr>
      <w:t>Kiribati National Statistics Office</w:t>
    </w:r>
    <w:r>
      <w:rPr>
        <w:rFonts w:ascii="Arial" w:hAnsi="Arial" w:cs="Arial"/>
        <w:sz w:val="20"/>
      </w:rPr>
      <w:t xml:space="preserve">      </w:t>
    </w:r>
    <w:r w:rsidR="00626A7A">
      <w:rPr>
        <w:rFonts w:ascii="Arial" w:hAnsi="Arial" w:cs="Arial"/>
        <w:sz w:val="20"/>
        <w:lang w:val="en-NZ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0"/>
      </w:rPr>
      <w:t xml:space="preserve">     </w:t>
    </w:r>
    <w:r w:rsidR="00626A7A">
      <w:rPr>
        <w:rFonts w:ascii="Arial" w:hAnsi="Arial" w:cs="Arial"/>
        <w:noProof/>
        <w:sz w:val="20"/>
        <w:lang w:val="en-US" w:eastAsia="zh-TW"/>
      </w:rPr>
      <w:drawing>
        <wp:inline distT="0" distB="0" distL="0" distR="0" wp14:anchorId="59FB972D" wp14:editId="03A74078">
          <wp:extent cx="359302" cy="393795"/>
          <wp:effectExtent l="0" t="0" r="3175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50px-Coat_of_arms_of_Kiribati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6591" cy="42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C278" w14:textId="77777777" w:rsidR="002B54C5" w:rsidRDefault="002B54C5" w:rsidP="00634E7E">
      <w:pPr>
        <w:spacing w:line="240" w:lineRule="auto"/>
      </w:pPr>
      <w:r>
        <w:separator/>
      </w:r>
    </w:p>
  </w:footnote>
  <w:footnote w:type="continuationSeparator" w:id="0">
    <w:p w14:paraId="211C8EBE" w14:textId="77777777" w:rsidR="002B54C5" w:rsidRDefault="002B54C5" w:rsidP="00634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238B" w14:textId="77777777" w:rsidR="00670400" w:rsidRDefault="00670400" w:rsidP="008B517B">
    <w:pPr>
      <w:pStyle w:val="Header"/>
      <w:jc w:val="right"/>
      <w:rPr>
        <w:rFonts w:ascii="Arial" w:hAnsi="Arial" w:cs="Arial"/>
        <w:sz w:val="22"/>
        <w:szCs w:val="22"/>
        <w:lang w:val="en-AU"/>
      </w:rPr>
    </w:pPr>
  </w:p>
  <w:p w14:paraId="51175407" w14:textId="77777777" w:rsidR="00670400" w:rsidRPr="00303DAA" w:rsidRDefault="00336FCA" w:rsidP="008B517B">
    <w:pPr>
      <w:pStyle w:val="Header"/>
      <w:jc w:val="right"/>
      <w:rPr>
        <w:rFonts w:ascii="Arial" w:hAnsi="Arial" w:cs="Arial"/>
        <w:sz w:val="22"/>
        <w:szCs w:val="22"/>
        <w:lang w:val="en-AU"/>
      </w:rPr>
    </w:pPr>
    <w:r>
      <w:rPr>
        <w:rFonts w:ascii="Arial" w:hAnsi="Arial" w:cs="Arial"/>
        <w:sz w:val="22"/>
        <w:szCs w:val="22"/>
        <w:lang w:val="en-AU"/>
      </w:rPr>
      <w:t>201</w:t>
    </w:r>
    <w:r w:rsidR="00FF0E50">
      <w:rPr>
        <w:rFonts w:ascii="Arial" w:hAnsi="Arial" w:cs="Arial"/>
        <w:sz w:val="22"/>
        <w:szCs w:val="22"/>
        <w:lang w:val="en-AU"/>
      </w:rPr>
      <w:t>7</w:t>
    </w:r>
    <w:r w:rsidR="00670400">
      <w:rPr>
        <w:rFonts w:ascii="Arial" w:hAnsi="Arial" w:cs="Arial"/>
        <w:sz w:val="22"/>
        <w:szCs w:val="22"/>
      </w:rPr>
      <w:t xml:space="preserve"> GDP Release: </w:t>
    </w:r>
    <w:r>
      <w:rPr>
        <w:rFonts w:ascii="Arial" w:hAnsi="Arial" w:cs="Arial"/>
        <w:sz w:val="22"/>
        <w:szCs w:val="22"/>
        <w:lang w:val="en-AU"/>
      </w:rPr>
      <w:t>August</w:t>
    </w:r>
    <w:r w:rsidR="002A75C8">
      <w:rPr>
        <w:rFonts w:ascii="Arial" w:hAnsi="Arial" w:cs="Arial"/>
        <w:sz w:val="22"/>
        <w:szCs w:val="22"/>
      </w:rPr>
      <w:t xml:space="preserve"> </w:t>
    </w:r>
    <w:r w:rsidR="00670400">
      <w:rPr>
        <w:rFonts w:ascii="Arial" w:hAnsi="Arial" w:cs="Arial"/>
        <w:sz w:val="22"/>
        <w:szCs w:val="22"/>
      </w:rPr>
      <w:t>201</w:t>
    </w:r>
    <w:r w:rsidR="00FF0E50">
      <w:rPr>
        <w:rFonts w:ascii="Arial" w:hAnsi="Arial" w:cs="Arial"/>
        <w:sz w:val="22"/>
        <w:szCs w:val="22"/>
        <w:lang w:val="en-AU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F47"/>
    <w:multiLevelType w:val="hybridMultilevel"/>
    <w:tmpl w:val="CC383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1B86"/>
    <w:multiLevelType w:val="hybridMultilevel"/>
    <w:tmpl w:val="51489AF6"/>
    <w:lvl w:ilvl="0" w:tplc="6A48A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0D7"/>
    <w:multiLevelType w:val="hybridMultilevel"/>
    <w:tmpl w:val="61068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D3B93"/>
    <w:multiLevelType w:val="hybridMultilevel"/>
    <w:tmpl w:val="ECAC4A6C"/>
    <w:lvl w:ilvl="0" w:tplc="6A48A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E61"/>
    <w:multiLevelType w:val="hybridMultilevel"/>
    <w:tmpl w:val="D18EED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2DAC"/>
    <w:multiLevelType w:val="hybridMultilevel"/>
    <w:tmpl w:val="B412A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78A"/>
    <w:multiLevelType w:val="hybridMultilevel"/>
    <w:tmpl w:val="1318FAE0"/>
    <w:lvl w:ilvl="0" w:tplc="3DCE9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C09E9"/>
    <w:multiLevelType w:val="hybridMultilevel"/>
    <w:tmpl w:val="3656DB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D52DC2"/>
    <w:multiLevelType w:val="hybridMultilevel"/>
    <w:tmpl w:val="6F6E33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40D58"/>
    <w:multiLevelType w:val="hybridMultilevel"/>
    <w:tmpl w:val="4A44A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879E8"/>
    <w:multiLevelType w:val="hybridMultilevel"/>
    <w:tmpl w:val="17C42A66"/>
    <w:lvl w:ilvl="0" w:tplc="6A48A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E12556"/>
    <w:multiLevelType w:val="hybridMultilevel"/>
    <w:tmpl w:val="37308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4456E"/>
    <w:multiLevelType w:val="hybridMultilevel"/>
    <w:tmpl w:val="7D40618E"/>
    <w:lvl w:ilvl="0" w:tplc="6A48A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0143"/>
    <w:multiLevelType w:val="hybridMultilevel"/>
    <w:tmpl w:val="06D218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E3858"/>
    <w:multiLevelType w:val="hybridMultilevel"/>
    <w:tmpl w:val="A366F7DE"/>
    <w:lvl w:ilvl="0" w:tplc="3DCE9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088C"/>
    <w:multiLevelType w:val="hybridMultilevel"/>
    <w:tmpl w:val="0118594C"/>
    <w:lvl w:ilvl="0" w:tplc="6A48A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A48F7"/>
    <w:multiLevelType w:val="hybridMultilevel"/>
    <w:tmpl w:val="FDCE6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D25519"/>
    <w:multiLevelType w:val="hybridMultilevel"/>
    <w:tmpl w:val="AA3C6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5"/>
  </w:num>
  <w:num w:numId="5">
    <w:abstractNumId w:val="10"/>
  </w:num>
  <w:num w:numId="6">
    <w:abstractNumId w:val="16"/>
  </w:num>
  <w:num w:numId="7">
    <w:abstractNumId w:val="5"/>
  </w:num>
  <w:num w:numId="8">
    <w:abstractNumId w:val="7"/>
  </w:num>
  <w:num w:numId="9">
    <w:abstractNumId w:val="17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ED"/>
    <w:rsid w:val="00001161"/>
    <w:rsid w:val="00021766"/>
    <w:rsid w:val="00026948"/>
    <w:rsid w:val="00026ADB"/>
    <w:rsid w:val="000531EC"/>
    <w:rsid w:val="00053C60"/>
    <w:rsid w:val="00054F7E"/>
    <w:rsid w:val="000642C8"/>
    <w:rsid w:val="000A388F"/>
    <w:rsid w:val="000A6242"/>
    <w:rsid w:val="000C5D64"/>
    <w:rsid w:val="000C5F8B"/>
    <w:rsid w:val="000D3F7A"/>
    <w:rsid w:val="00104820"/>
    <w:rsid w:val="00106146"/>
    <w:rsid w:val="00111D6A"/>
    <w:rsid w:val="00116FA0"/>
    <w:rsid w:val="001170F3"/>
    <w:rsid w:val="001307EE"/>
    <w:rsid w:val="00131077"/>
    <w:rsid w:val="00142B69"/>
    <w:rsid w:val="00157290"/>
    <w:rsid w:val="0016329B"/>
    <w:rsid w:val="00186C1F"/>
    <w:rsid w:val="0019065B"/>
    <w:rsid w:val="00194E1C"/>
    <w:rsid w:val="00196293"/>
    <w:rsid w:val="001969E7"/>
    <w:rsid w:val="001A2DF9"/>
    <w:rsid w:val="001A63B8"/>
    <w:rsid w:val="001B6F25"/>
    <w:rsid w:val="001C1C5E"/>
    <w:rsid w:val="001C320C"/>
    <w:rsid w:val="001D6625"/>
    <w:rsid w:val="001D6B12"/>
    <w:rsid w:val="001E46D2"/>
    <w:rsid w:val="001E6933"/>
    <w:rsid w:val="002041C8"/>
    <w:rsid w:val="002151BA"/>
    <w:rsid w:val="00225BCF"/>
    <w:rsid w:val="00235400"/>
    <w:rsid w:val="00244780"/>
    <w:rsid w:val="00244962"/>
    <w:rsid w:val="00262E50"/>
    <w:rsid w:val="00267115"/>
    <w:rsid w:val="00276910"/>
    <w:rsid w:val="00282EC7"/>
    <w:rsid w:val="002869E0"/>
    <w:rsid w:val="00287CF9"/>
    <w:rsid w:val="00290A4F"/>
    <w:rsid w:val="00295CA2"/>
    <w:rsid w:val="00295E0A"/>
    <w:rsid w:val="00296F4B"/>
    <w:rsid w:val="002A3EDD"/>
    <w:rsid w:val="002A75C8"/>
    <w:rsid w:val="002B0CC9"/>
    <w:rsid w:val="002B13D2"/>
    <w:rsid w:val="002B1B12"/>
    <w:rsid w:val="002B2D5D"/>
    <w:rsid w:val="002B54C5"/>
    <w:rsid w:val="002C39C6"/>
    <w:rsid w:val="002C3A9E"/>
    <w:rsid w:val="002C6B33"/>
    <w:rsid w:val="002F372E"/>
    <w:rsid w:val="00303DAA"/>
    <w:rsid w:val="0031697C"/>
    <w:rsid w:val="0032185C"/>
    <w:rsid w:val="00326C36"/>
    <w:rsid w:val="003341D6"/>
    <w:rsid w:val="00335DA0"/>
    <w:rsid w:val="00336FCA"/>
    <w:rsid w:val="003416DC"/>
    <w:rsid w:val="00352765"/>
    <w:rsid w:val="00352DF5"/>
    <w:rsid w:val="00354CCF"/>
    <w:rsid w:val="0035551D"/>
    <w:rsid w:val="003567CC"/>
    <w:rsid w:val="003575C9"/>
    <w:rsid w:val="00363B9A"/>
    <w:rsid w:val="003677E2"/>
    <w:rsid w:val="00371CDC"/>
    <w:rsid w:val="00373503"/>
    <w:rsid w:val="003B25D4"/>
    <w:rsid w:val="003B2A9D"/>
    <w:rsid w:val="003B2E7B"/>
    <w:rsid w:val="003D49BC"/>
    <w:rsid w:val="003E1A70"/>
    <w:rsid w:val="003E7222"/>
    <w:rsid w:val="003F7CC3"/>
    <w:rsid w:val="00405B89"/>
    <w:rsid w:val="004062C1"/>
    <w:rsid w:val="0042227B"/>
    <w:rsid w:val="0042256C"/>
    <w:rsid w:val="00457FBB"/>
    <w:rsid w:val="00460D79"/>
    <w:rsid w:val="0046311F"/>
    <w:rsid w:val="00465987"/>
    <w:rsid w:val="004747CC"/>
    <w:rsid w:val="0047763C"/>
    <w:rsid w:val="0048179F"/>
    <w:rsid w:val="00483959"/>
    <w:rsid w:val="00485A5B"/>
    <w:rsid w:val="00492A58"/>
    <w:rsid w:val="004A2381"/>
    <w:rsid w:val="004A798F"/>
    <w:rsid w:val="004B0C4E"/>
    <w:rsid w:val="004B2D35"/>
    <w:rsid w:val="004B5408"/>
    <w:rsid w:val="004B6D14"/>
    <w:rsid w:val="00504CF8"/>
    <w:rsid w:val="00520E0D"/>
    <w:rsid w:val="0053286E"/>
    <w:rsid w:val="00544DE6"/>
    <w:rsid w:val="00561F33"/>
    <w:rsid w:val="00566214"/>
    <w:rsid w:val="0057286E"/>
    <w:rsid w:val="005849D2"/>
    <w:rsid w:val="0059209D"/>
    <w:rsid w:val="00595FF1"/>
    <w:rsid w:val="00596FB7"/>
    <w:rsid w:val="005A6E87"/>
    <w:rsid w:val="005B020A"/>
    <w:rsid w:val="005B3EB5"/>
    <w:rsid w:val="005B40DB"/>
    <w:rsid w:val="005C4ABB"/>
    <w:rsid w:val="005C594D"/>
    <w:rsid w:val="005D2846"/>
    <w:rsid w:val="005F5058"/>
    <w:rsid w:val="00612348"/>
    <w:rsid w:val="00626A7A"/>
    <w:rsid w:val="00634E7E"/>
    <w:rsid w:val="0064013F"/>
    <w:rsid w:val="00660F99"/>
    <w:rsid w:val="00663AAA"/>
    <w:rsid w:val="0066529A"/>
    <w:rsid w:val="0066617C"/>
    <w:rsid w:val="00670400"/>
    <w:rsid w:val="0067290D"/>
    <w:rsid w:val="00686571"/>
    <w:rsid w:val="006A094F"/>
    <w:rsid w:val="006B1E5F"/>
    <w:rsid w:val="006C5DAE"/>
    <w:rsid w:val="006C7C8A"/>
    <w:rsid w:val="006D0405"/>
    <w:rsid w:val="006E0B8D"/>
    <w:rsid w:val="006E5437"/>
    <w:rsid w:val="006E5D12"/>
    <w:rsid w:val="006F1744"/>
    <w:rsid w:val="00705B68"/>
    <w:rsid w:val="007062E5"/>
    <w:rsid w:val="00714D19"/>
    <w:rsid w:val="00720334"/>
    <w:rsid w:val="00721709"/>
    <w:rsid w:val="00726578"/>
    <w:rsid w:val="00737DF1"/>
    <w:rsid w:val="007550EA"/>
    <w:rsid w:val="007611D2"/>
    <w:rsid w:val="007619BF"/>
    <w:rsid w:val="00761BCE"/>
    <w:rsid w:val="0076316B"/>
    <w:rsid w:val="00787BA5"/>
    <w:rsid w:val="00791AA8"/>
    <w:rsid w:val="007A19F5"/>
    <w:rsid w:val="007A6DA9"/>
    <w:rsid w:val="007B1F85"/>
    <w:rsid w:val="007B7900"/>
    <w:rsid w:val="007C2097"/>
    <w:rsid w:val="007C7F17"/>
    <w:rsid w:val="007D590C"/>
    <w:rsid w:val="007F1510"/>
    <w:rsid w:val="007F30D4"/>
    <w:rsid w:val="00805C4A"/>
    <w:rsid w:val="008250F0"/>
    <w:rsid w:val="00825521"/>
    <w:rsid w:val="00826F68"/>
    <w:rsid w:val="00827772"/>
    <w:rsid w:val="00827C08"/>
    <w:rsid w:val="00841A1C"/>
    <w:rsid w:val="00843824"/>
    <w:rsid w:val="00846EA8"/>
    <w:rsid w:val="00865BF2"/>
    <w:rsid w:val="00876062"/>
    <w:rsid w:val="00883F18"/>
    <w:rsid w:val="008867BC"/>
    <w:rsid w:val="00887B5E"/>
    <w:rsid w:val="008B517B"/>
    <w:rsid w:val="008B69DF"/>
    <w:rsid w:val="008B79C1"/>
    <w:rsid w:val="008C60E0"/>
    <w:rsid w:val="008D0464"/>
    <w:rsid w:val="008F1E39"/>
    <w:rsid w:val="008F1E44"/>
    <w:rsid w:val="008F3458"/>
    <w:rsid w:val="008F754B"/>
    <w:rsid w:val="009043E2"/>
    <w:rsid w:val="0091705D"/>
    <w:rsid w:val="009220B3"/>
    <w:rsid w:val="00924A86"/>
    <w:rsid w:val="00926B85"/>
    <w:rsid w:val="009317B5"/>
    <w:rsid w:val="009362E9"/>
    <w:rsid w:val="0095438B"/>
    <w:rsid w:val="00954912"/>
    <w:rsid w:val="00957F4C"/>
    <w:rsid w:val="009602EF"/>
    <w:rsid w:val="00967DD5"/>
    <w:rsid w:val="00970656"/>
    <w:rsid w:val="00970893"/>
    <w:rsid w:val="00974CE6"/>
    <w:rsid w:val="00984F4F"/>
    <w:rsid w:val="00987210"/>
    <w:rsid w:val="0099230F"/>
    <w:rsid w:val="00992D8E"/>
    <w:rsid w:val="00997350"/>
    <w:rsid w:val="009C0602"/>
    <w:rsid w:val="009C629F"/>
    <w:rsid w:val="009D05F9"/>
    <w:rsid w:val="009D5662"/>
    <w:rsid w:val="009E596E"/>
    <w:rsid w:val="009F0520"/>
    <w:rsid w:val="00A04FC5"/>
    <w:rsid w:val="00A06E65"/>
    <w:rsid w:val="00A07F3F"/>
    <w:rsid w:val="00A24E0C"/>
    <w:rsid w:val="00A36977"/>
    <w:rsid w:val="00A4262E"/>
    <w:rsid w:val="00A466ED"/>
    <w:rsid w:val="00A530D7"/>
    <w:rsid w:val="00A5529D"/>
    <w:rsid w:val="00A621E6"/>
    <w:rsid w:val="00A673F8"/>
    <w:rsid w:val="00A705E6"/>
    <w:rsid w:val="00A8050E"/>
    <w:rsid w:val="00A84BD3"/>
    <w:rsid w:val="00A94089"/>
    <w:rsid w:val="00AA0DFB"/>
    <w:rsid w:val="00AA11A8"/>
    <w:rsid w:val="00AA3394"/>
    <w:rsid w:val="00AB5521"/>
    <w:rsid w:val="00AC61C0"/>
    <w:rsid w:val="00AE3E24"/>
    <w:rsid w:val="00B04E23"/>
    <w:rsid w:val="00B17ACD"/>
    <w:rsid w:val="00B23B21"/>
    <w:rsid w:val="00B32565"/>
    <w:rsid w:val="00B37A9C"/>
    <w:rsid w:val="00B40038"/>
    <w:rsid w:val="00B44187"/>
    <w:rsid w:val="00B506CE"/>
    <w:rsid w:val="00B63DBA"/>
    <w:rsid w:val="00B73269"/>
    <w:rsid w:val="00B76D15"/>
    <w:rsid w:val="00B91367"/>
    <w:rsid w:val="00B91B99"/>
    <w:rsid w:val="00BB6917"/>
    <w:rsid w:val="00BD444B"/>
    <w:rsid w:val="00BD57DF"/>
    <w:rsid w:val="00BE1543"/>
    <w:rsid w:val="00BE5C84"/>
    <w:rsid w:val="00BF4D87"/>
    <w:rsid w:val="00C01DF1"/>
    <w:rsid w:val="00C21B3A"/>
    <w:rsid w:val="00C25742"/>
    <w:rsid w:val="00C43A02"/>
    <w:rsid w:val="00C52E3F"/>
    <w:rsid w:val="00C6465B"/>
    <w:rsid w:val="00C76FF4"/>
    <w:rsid w:val="00C772A2"/>
    <w:rsid w:val="00C81014"/>
    <w:rsid w:val="00C827AB"/>
    <w:rsid w:val="00CA141B"/>
    <w:rsid w:val="00CB333F"/>
    <w:rsid w:val="00CD21FF"/>
    <w:rsid w:val="00CF554F"/>
    <w:rsid w:val="00D15980"/>
    <w:rsid w:val="00D159DE"/>
    <w:rsid w:val="00D22368"/>
    <w:rsid w:val="00D35B02"/>
    <w:rsid w:val="00D45A95"/>
    <w:rsid w:val="00D600D8"/>
    <w:rsid w:val="00D67693"/>
    <w:rsid w:val="00D70E31"/>
    <w:rsid w:val="00D76329"/>
    <w:rsid w:val="00D95F37"/>
    <w:rsid w:val="00DA1962"/>
    <w:rsid w:val="00DB2CED"/>
    <w:rsid w:val="00DB3648"/>
    <w:rsid w:val="00DB5712"/>
    <w:rsid w:val="00DC294C"/>
    <w:rsid w:val="00DC5E03"/>
    <w:rsid w:val="00DD2BF1"/>
    <w:rsid w:val="00DF2D07"/>
    <w:rsid w:val="00DF41EB"/>
    <w:rsid w:val="00E02ECD"/>
    <w:rsid w:val="00E059AE"/>
    <w:rsid w:val="00E05D74"/>
    <w:rsid w:val="00E16644"/>
    <w:rsid w:val="00E16A58"/>
    <w:rsid w:val="00E17C91"/>
    <w:rsid w:val="00E20B88"/>
    <w:rsid w:val="00E21264"/>
    <w:rsid w:val="00E40826"/>
    <w:rsid w:val="00E41846"/>
    <w:rsid w:val="00E4317F"/>
    <w:rsid w:val="00E51D0D"/>
    <w:rsid w:val="00E55C08"/>
    <w:rsid w:val="00E56189"/>
    <w:rsid w:val="00E65A67"/>
    <w:rsid w:val="00E7113D"/>
    <w:rsid w:val="00E77963"/>
    <w:rsid w:val="00E8799A"/>
    <w:rsid w:val="00E87C53"/>
    <w:rsid w:val="00EA07C5"/>
    <w:rsid w:val="00EB597B"/>
    <w:rsid w:val="00EC0DD1"/>
    <w:rsid w:val="00ED176D"/>
    <w:rsid w:val="00EF1C33"/>
    <w:rsid w:val="00F053BE"/>
    <w:rsid w:val="00F14ABF"/>
    <w:rsid w:val="00F40238"/>
    <w:rsid w:val="00F502C5"/>
    <w:rsid w:val="00F57524"/>
    <w:rsid w:val="00F61A46"/>
    <w:rsid w:val="00F624B1"/>
    <w:rsid w:val="00F75CF8"/>
    <w:rsid w:val="00F91AF9"/>
    <w:rsid w:val="00FA25FA"/>
    <w:rsid w:val="00FA33F4"/>
    <w:rsid w:val="00FA46E3"/>
    <w:rsid w:val="00FB38A9"/>
    <w:rsid w:val="00FB4948"/>
    <w:rsid w:val="00FD435F"/>
    <w:rsid w:val="00FD4FE5"/>
    <w:rsid w:val="00FE4B4F"/>
    <w:rsid w:val="00FF0E50"/>
    <w:rsid w:val="00FF0F45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BFE39"/>
  <w15:docId w15:val="{ADA4481E-182A-4B46-BBA4-746BB20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ED"/>
    <w:pPr>
      <w:spacing w:line="264" w:lineRule="auto"/>
    </w:pPr>
    <w:rPr>
      <w:sz w:val="24"/>
      <w:lang w:val="en-US" w:eastAsia="pt-BR"/>
    </w:rPr>
  </w:style>
  <w:style w:type="paragraph" w:styleId="Heading1">
    <w:name w:val="heading 1"/>
    <w:basedOn w:val="Normal"/>
    <w:next w:val="Normal"/>
    <w:link w:val="Heading1Char"/>
    <w:qFormat/>
    <w:rsid w:val="00A466ED"/>
    <w:pPr>
      <w:keepNext/>
      <w:widowControl w:val="0"/>
      <w:adjustRightInd w:val="0"/>
      <w:spacing w:after="240"/>
      <w:textAlignment w:val="baseline"/>
      <w:outlineLvl w:val="0"/>
    </w:pPr>
    <w:rPr>
      <w:rFonts w:ascii="Times New Roman Bold" w:hAnsi="Times New Roman Bold" w:cs="Arial"/>
      <w:b/>
      <w:bCs/>
      <w:kern w:val="28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66ED"/>
    <w:pPr>
      <w:keepNext/>
      <w:widowControl w:val="0"/>
      <w:adjustRightInd w:val="0"/>
      <w:spacing w:after="240"/>
      <w:textAlignment w:val="baseline"/>
      <w:outlineLvl w:val="1"/>
    </w:pPr>
    <w:rPr>
      <w:rFonts w:cs="Arial"/>
      <w:b/>
      <w:bCs/>
      <w:iC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66ED"/>
    <w:rPr>
      <w:rFonts w:ascii="Times New Roman Bold" w:hAnsi="Times New Roman Bold" w:cs="Arial"/>
      <w:b/>
      <w:bCs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A466ED"/>
    <w:rPr>
      <w:rFonts w:cs="Arial"/>
      <w:b/>
      <w:bCs/>
      <w:iCs/>
      <w:sz w:val="26"/>
      <w:szCs w:val="28"/>
      <w:lang w:val="en-US" w:eastAsia="en-US" w:bidi="ar-SA"/>
    </w:rPr>
  </w:style>
  <w:style w:type="paragraph" w:customStyle="1" w:styleId="Figure">
    <w:name w:val="Figure"/>
    <w:basedOn w:val="Normal"/>
    <w:link w:val="FigureChar"/>
    <w:qFormat/>
    <w:rsid w:val="00A466ED"/>
    <w:rPr>
      <w:b/>
      <w:bCs/>
    </w:rPr>
  </w:style>
  <w:style w:type="character" w:customStyle="1" w:styleId="FigureChar">
    <w:name w:val="Figure Char"/>
    <w:link w:val="Figure"/>
    <w:rsid w:val="00A466ED"/>
    <w:rPr>
      <w:b/>
      <w:bCs/>
      <w:sz w:val="24"/>
      <w:lang w:val="en-US" w:eastAsia="pt-BR" w:bidi="ar-SA"/>
    </w:rPr>
  </w:style>
  <w:style w:type="table" w:styleId="TableGrid">
    <w:name w:val="Table Grid"/>
    <w:basedOn w:val="TableNormal"/>
    <w:rsid w:val="00A466E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4E7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634E7E"/>
    <w:rPr>
      <w:sz w:val="24"/>
      <w:lang w:eastAsia="pt-BR"/>
    </w:rPr>
  </w:style>
  <w:style w:type="paragraph" w:styleId="Footer">
    <w:name w:val="footer"/>
    <w:basedOn w:val="Normal"/>
    <w:link w:val="FooterChar"/>
    <w:rsid w:val="00634E7E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634E7E"/>
    <w:rPr>
      <w:sz w:val="24"/>
      <w:lang w:eastAsia="pt-BR"/>
    </w:rPr>
  </w:style>
  <w:style w:type="paragraph" w:styleId="BalloonText">
    <w:name w:val="Balloon Text"/>
    <w:basedOn w:val="Normal"/>
    <w:link w:val="BalloonTextChar"/>
    <w:rsid w:val="00596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FB7"/>
    <w:rPr>
      <w:rFonts w:ascii="Tahoma" w:hAnsi="Tahoma" w:cs="Tahoma"/>
      <w:sz w:val="16"/>
      <w:szCs w:val="16"/>
      <w:lang w:val="en-US" w:eastAsia="pt-BR"/>
    </w:rPr>
  </w:style>
  <w:style w:type="paragraph" w:styleId="ListParagraph">
    <w:name w:val="List Paragraph"/>
    <w:basedOn w:val="Normal"/>
    <w:uiPriority w:val="34"/>
    <w:qFormat/>
    <w:rsid w:val="006C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DE39-0CA8-4CA4-8117-E689CF1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 Highlights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 Highlights</dc:title>
  <dc:creator>Anne</dc:creator>
  <cp:lastModifiedBy>User</cp:lastModifiedBy>
  <cp:revision>2</cp:revision>
  <cp:lastPrinted>2013-02-03T20:59:00Z</cp:lastPrinted>
  <dcterms:created xsi:type="dcterms:W3CDTF">2018-09-06T04:00:00Z</dcterms:created>
  <dcterms:modified xsi:type="dcterms:W3CDTF">2018-09-06T04:00:00Z</dcterms:modified>
</cp:coreProperties>
</file>